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2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18"/>
        <w:gridCol w:w="1997"/>
        <w:gridCol w:w="627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分值</w:t>
            </w:r>
          </w:p>
        </w:tc>
        <w:tc>
          <w:tcPr>
            <w:tcW w:w="19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评分因素分项</w:t>
            </w:r>
          </w:p>
        </w:tc>
        <w:tc>
          <w:tcPr>
            <w:tcW w:w="627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评分标准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价格部分</w:t>
            </w:r>
          </w:p>
        </w:tc>
        <w:tc>
          <w:tcPr>
            <w:tcW w:w="81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10</w:t>
            </w:r>
          </w:p>
        </w:tc>
        <w:tc>
          <w:tcPr>
            <w:tcW w:w="19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评标价格</w:t>
            </w:r>
          </w:p>
        </w:tc>
        <w:tc>
          <w:tcPr>
            <w:tcW w:w="627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评标价格分数=（评标基准价/投标报价）×价格权重（10%）×100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所有有效投标人报价的平均价作为评标基准价，最高得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10分。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商务部分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26</w:t>
            </w:r>
          </w:p>
        </w:tc>
        <w:tc>
          <w:tcPr>
            <w:tcW w:w="199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资质证书（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分）</w:t>
            </w:r>
          </w:p>
        </w:tc>
        <w:tc>
          <w:tcPr>
            <w:tcW w:w="6271" w:type="dxa"/>
            <w:tcBorders>
              <w:bottom w:val="single" w:color="auto" w:sz="4" w:space="0"/>
            </w:tcBorders>
            <w:vAlign w:val="center"/>
          </w:tcPr>
          <w:p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响应人具有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以下资质证书</w:t>
            </w:r>
            <w:r>
              <w:rPr>
                <w:rFonts w:hint="eastAsia" w:ascii="宋体" w:hAnsi="宋体"/>
                <w:color w:val="000000"/>
                <w:szCs w:val="21"/>
              </w:rPr>
              <w:t>，每个得2分，总分</w:t>
            </w:r>
            <w:r>
              <w:rPr>
                <w:rFonts w:ascii="宋体" w:hAnsi="宋体"/>
                <w:color w:val="000000"/>
                <w:szCs w:val="21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</w:rPr>
              <w:t>分。</w:t>
            </w:r>
          </w:p>
          <w:p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ISO9001（质量管理体系认证证书）认证复印件。（得2分）</w:t>
            </w:r>
          </w:p>
          <w:p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 高新技术企业证书复印件。（得2分）</w:t>
            </w:r>
          </w:p>
          <w:p>
            <w:pPr>
              <w:spacing w:line="288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3. 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软件企业证书。</w:t>
            </w:r>
            <w:r>
              <w:rPr>
                <w:rFonts w:hint="eastAsia" w:ascii="宋体" w:hAnsi="宋体"/>
                <w:color w:val="000000"/>
                <w:szCs w:val="21"/>
              </w:rPr>
              <w:t>（得2分）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注：需提供有效资质证书复印件并加盖公章，未提供不得分。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类似业绩（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分）</w:t>
            </w:r>
          </w:p>
        </w:tc>
        <w:tc>
          <w:tcPr>
            <w:tcW w:w="627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响应人提供2019年至今互联网门户系统升级建设项目，每提供一份得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分，最高得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分，不提供不得分。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（须提供包含合同首页及盖章页复印件并加盖单位公章）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研发能力</w:t>
            </w:r>
          </w:p>
          <w:p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(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)</w:t>
            </w:r>
          </w:p>
        </w:tc>
        <w:tc>
          <w:tcPr>
            <w:tcW w:w="627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多门户系统软件著作权证书及相关软件著作权证书，每提供一套得1分，不提供不得分，总分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分。投标文件中提供有效的证书复印件并加盖单位公章。不提供不得分。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widowControl/>
              <w:spacing w:line="360" w:lineRule="auto"/>
              <w:ind w:firstLine="420" w:firstLineChars="20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9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持续服务能力（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5分）</w:t>
            </w:r>
          </w:p>
        </w:tc>
        <w:tc>
          <w:tcPr>
            <w:tcW w:w="627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提供服务超过三年以上公立医院技术服务合同证明，每提供一项得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1分，不提供不得分，总分5分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注：需提供三年（或以上）合同（含首页、内容页、签字盖章页）复印件，否则业绩不予认可。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提供格式自拟，加盖投标人公章。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技术部分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64</w:t>
            </w:r>
          </w:p>
        </w:tc>
        <w:tc>
          <w:tcPr>
            <w:tcW w:w="19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对技术规格要求的响应程度（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25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分）</w:t>
            </w:r>
          </w:p>
        </w:tc>
        <w:tc>
          <w:tcPr>
            <w:tcW w:w="6271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响应人须对总体要求和功能参数响应偏离情况逐一应答，打“</w:t>
            </w:r>
            <w:r>
              <w:rPr>
                <w:rFonts w:hint="eastAsia" w:ascii="宋体" w:hAnsi="宋体"/>
                <w:bCs/>
                <w:szCs w:val="21"/>
              </w:rPr>
              <w:t>▲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“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号标记的为重点要求项，如不满足则将在评分中加重扣分。（需根据比选文件总体要求及详细功能描述要求提供相关经验证明/系统截图/设计方案）。全部满足得25分。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注：“</w:t>
            </w:r>
            <w:r>
              <w:rPr>
                <w:rFonts w:hint="eastAsia" w:ascii="宋体" w:hAnsi="宋体"/>
                <w:bCs/>
                <w:szCs w:val="21"/>
              </w:rPr>
              <w:t>▲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”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号标记的不能实质性满足的,一项扣1分，非“</w:t>
            </w:r>
            <w:r>
              <w:rPr>
                <w:rFonts w:hint="eastAsia" w:ascii="宋体" w:hAnsi="宋体"/>
                <w:bCs/>
                <w:szCs w:val="21"/>
              </w:rPr>
              <w:t>▲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“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号标记的不能实质性满足的，一项扣0.5分，扣完为止。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注：注明“</w:t>
            </w:r>
            <w:r>
              <w:rPr>
                <w:rFonts w:hint="eastAsia" w:ascii="宋体" w:hAnsi="宋体"/>
                <w:bCs/>
                <w:szCs w:val="21"/>
              </w:rPr>
              <w:t>▲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”号条款应提供相关证明/系统截图/设计方案并加盖公章，以便评标委员会评审，未提供的不予认可。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97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对提供的建设方案进行评价（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25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分）</w:t>
            </w:r>
          </w:p>
        </w:tc>
        <w:tc>
          <w:tcPr>
            <w:tcW w:w="6271" w:type="dxa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根据招标要求和投标技术响应情况，</w:t>
            </w:r>
            <w:r>
              <w:rPr>
                <w:rFonts w:hint="eastAsia" w:ascii="宋体" w:hAnsi="宋体" w:cs="宋体"/>
                <w:bCs/>
                <w:szCs w:val="21"/>
              </w:rPr>
              <w:t>对响应人提供的建设方案进行评价：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（1）方案能清晰理解采购人功能需求，并能全面覆盖项目所有系统功能需求，</w:t>
            </w:r>
            <w:r>
              <w:rPr>
                <w:rFonts w:hint="eastAsia" w:ascii="宋体" w:hAnsi="宋体" w:cs="宋体"/>
                <w:bCs/>
              </w:rPr>
              <w:t>有切实可行的协调、解决和完成项目的工作方法和措施的</w:t>
            </w:r>
            <w:r>
              <w:rPr>
                <w:rFonts w:hint="eastAsia" w:ascii="宋体" w:hAnsi="宋体" w:cs="宋体"/>
                <w:bCs/>
                <w:szCs w:val="21"/>
              </w:rPr>
              <w:t>，得</w:t>
            </w:r>
            <w:r>
              <w:rPr>
                <w:rFonts w:ascii="宋体" w:hAnsi="宋体" w:cs="宋体"/>
                <w:bCs/>
                <w:szCs w:val="21"/>
              </w:rPr>
              <w:t>25</w:t>
            </w:r>
            <w:r>
              <w:rPr>
                <w:rFonts w:hint="eastAsia" w:ascii="宋体" w:hAnsi="宋体" w:cs="宋体"/>
                <w:bCs/>
                <w:szCs w:val="21"/>
              </w:rPr>
              <w:t>分。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（2）方案能基本理解采购人功能需求，能基本覆盖项目所有系统功能需求的，得</w:t>
            </w:r>
            <w:r>
              <w:rPr>
                <w:rFonts w:ascii="宋体" w:hAnsi="宋体" w:cs="宋体"/>
                <w:bCs/>
                <w:szCs w:val="21"/>
              </w:rPr>
              <w:t>10</w:t>
            </w:r>
            <w:r>
              <w:rPr>
                <w:rFonts w:hint="eastAsia" w:ascii="宋体" w:hAnsi="宋体" w:cs="宋体"/>
                <w:bCs/>
                <w:szCs w:val="21"/>
              </w:rPr>
              <w:t>分。</w:t>
            </w:r>
          </w:p>
          <w:p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（3）方案不能理解采购人功能需求，针对本项目没有详细的团队工作方案和计划，以及有效的服务承诺，得</w:t>
            </w:r>
            <w:r>
              <w:rPr>
                <w:rFonts w:ascii="宋体" w:hAnsi="宋体" w:cs="宋体"/>
                <w:bCs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分。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（4）未提供服务方案的得0分。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97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服务方案（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分）</w:t>
            </w:r>
          </w:p>
        </w:tc>
        <w:tc>
          <w:tcPr>
            <w:tcW w:w="6271" w:type="dxa"/>
            <w:vAlign w:val="center"/>
          </w:tcPr>
          <w:p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充分结合项目特征，提出有针对性的具体服务方案。</w:t>
            </w:r>
          </w:p>
          <w:p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（1）服务方案内容完整，针对性、可行性、合理性、可靠性、安全性强，完全满足采购人需求：</w:t>
            </w:r>
            <w:r>
              <w:rPr>
                <w:rFonts w:ascii="宋体" w:hAnsi="宋体" w:cs="宋体"/>
                <w:bCs/>
                <w:szCs w:val="21"/>
              </w:rPr>
              <w:t>5分；</w:t>
            </w:r>
          </w:p>
          <w:p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（2）能够结合项目特征，提出有一定针对性的具体服务方案。服务方案内容较完整，针对性、可行性、合理性、可靠性、安全性较强，较好地满足采购人需求：</w:t>
            </w:r>
            <w:r>
              <w:rPr>
                <w:rFonts w:ascii="宋体" w:hAnsi="宋体" w:cs="宋体"/>
                <w:bCs/>
                <w:szCs w:val="21"/>
              </w:rPr>
              <w:t>3分；</w:t>
            </w:r>
          </w:p>
          <w:p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</w:t>
            </w:r>
            <w:r>
              <w:rPr>
                <w:rFonts w:ascii="宋体" w:hAnsi="宋体" w:cs="宋体"/>
                <w:bCs/>
                <w:szCs w:val="21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）能够结合项目部分特征提出服务方案。服务方案内容基本完整，针对性、可行性、合理性、可靠性、安全性一般，基本满足采购人需求：</w:t>
            </w:r>
            <w:r>
              <w:rPr>
                <w:rFonts w:ascii="宋体" w:hAnsi="宋体" w:cs="宋体"/>
                <w:bCs/>
                <w:szCs w:val="21"/>
              </w:rPr>
              <w:t>1分；</w:t>
            </w:r>
          </w:p>
          <w:p>
            <w:pPr>
              <w:widowControl/>
              <w:snapToGrid w:val="0"/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（4）没有提供服务方案的不得分。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97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应急预案（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分）</w:t>
            </w:r>
          </w:p>
        </w:tc>
        <w:tc>
          <w:tcPr>
            <w:tcW w:w="62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根据响应人提供的针对本项目的应急预案情况进行综合评分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</w:t>
            </w:r>
            <w:r>
              <w:rPr>
                <w:rFonts w:ascii="宋体" w:hAnsi="宋体" w:cs="宋体"/>
                <w:bCs/>
                <w:szCs w:val="21"/>
              </w:rPr>
              <w:t>1）应急预案详细、合理，可行性、针对性强，得3</w:t>
            </w:r>
            <w:r>
              <w:rPr>
                <w:rFonts w:hint="eastAsia" w:ascii="宋体" w:hAnsi="宋体" w:cs="宋体"/>
                <w:bCs/>
                <w:szCs w:val="21"/>
              </w:rPr>
              <w:t>分；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</w:t>
            </w:r>
            <w:r>
              <w:rPr>
                <w:rFonts w:ascii="宋体" w:hAnsi="宋体" w:cs="宋体"/>
                <w:bCs/>
                <w:szCs w:val="21"/>
              </w:rPr>
              <w:t>2）应急预案详细程度、合理性、可行性、针对性差的，得1</w:t>
            </w:r>
            <w:r>
              <w:rPr>
                <w:rFonts w:hint="eastAsia" w:ascii="宋体" w:hAnsi="宋体" w:cs="宋体"/>
                <w:bCs/>
                <w:szCs w:val="21"/>
              </w:rPr>
              <w:t>分；</w:t>
            </w:r>
          </w:p>
          <w:p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</w:t>
            </w:r>
            <w:r>
              <w:rPr>
                <w:rFonts w:ascii="宋体" w:hAnsi="宋体" w:cs="宋体"/>
                <w:bCs/>
                <w:szCs w:val="21"/>
              </w:rPr>
              <w:t>3）未提供不得分。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97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服务团队（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3分）</w:t>
            </w:r>
          </w:p>
        </w:tc>
        <w:tc>
          <w:tcPr>
            <w:tcW w:w="62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根据项目团队成员的基本情况、数量及资质综合比较：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（1）人员配置合理，与项目需求匹配度高，并具有相关专业技术资格认证证书的（提供相关证明材料），得</w:t>
            </w:r>
            <w:r>
              <w:rPr>
                <w:rFonts w:ascii="宋体" w:hAnsi="宋体" w:cs="宋体"/>
                <w:bCs/>
                <w:szCs w:val="21"/>
              </w:rPr>
              <w:t>3分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（2）人员配置一般，基本符合项目需求，得1分；</w:t>
            </w:r>
          </w:p>
          <w:p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（3）未提供不得分。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spacing w:line="360" w:lineRule="auto"/>
              <w:ind w:firstLine="420" w:firstLineChars="200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97" w:type="dxa"/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其他需求（3分）</w:t>
            </w:r>
          </w:p>
        </w:tc>
        <w:tc>
          <w:tcPr>
            <w:tcW w:w="6271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“#“号标记的为重点需求项，满足并提供相关证明，每个得1分，满分3分。未提供不得分。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5ZjgyZmFiODg5YzY4N2ZhOTA3YWVhYzZjN2UxMGEifQ=="/>
  </w:docVars>
  <w:rsids>
    <w:rsidRoot w:val="00F222ED"/>
    <w:rsid w:val="001128BF"/>
    <w:rsid w:val="001A55D1"/>
    <w:rsid w:val="002548C8"/>
    <w:rsid w:val="0027097D"/>
    <w:rsid w:val="00492387"/>
    <w:rsid w:val="00525BB9"/>
    <w:rsid w:val="00746FB6"/>
    <w:rsid w:val="0080261E"/>
    <w:rsid w:val="00890BCC"/>
    <w:rsid w:val="008978AD"/>
    <w:rsid w:val="009D0D4D"/>
    <w:rsid w:val="00B110E7"/>
    <w:rsid w:val="00B26772"/>
    <w:rsid w:val="00B51B1E"/>
    <w:rsid w:val="00C45299"/>
    <w:rsid w:val="00D150BA"/>
    <w:rsid w:val="00DC3BF1"/>
    <w:rsid w:val="00E428C2"/>
    <w:rsid w:val="00F052DB"/>
    <w:rsid w:val="00F222ED"/>
    <w:rsid w:val="0F3866E0"/>
    <w:rsid w:val="6D7F77F6"/>
    <w:rsid w:val="7F2B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1413</Words>
  <Characters>1443</Characters>
  <Lines>10</Lines>
  <Paragraphs>3</Paragraphs>
  <TotalTime>10</TotalTime>
  <ScaleCrop>false</ScaleCrop>
  <LinksUpToDate>false</LinksUpToDate>
  <CharactersWithSpaces>1446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2022-09-23T11:52:00Z</dcterms:created>
  <dc:creator>86185</dc:creator>
  <cp:lastModifiedBy>凌</cp:lastModifiedBy>
  <dcterms:modified xsi:type="dcterms:W3CDTF">2022-11-23T08:09:07Z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F58B84F506604840949B1C1302B6B8A2</vt:lpwstr>
  </property>
</Properties>
</file>