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eastAsia="宋体"/>
          <w:lang w:val="en-US" w:eastAsia="zh-CN"/>
        </w:rPr>
      </w:pPr>
      <w:r>
        <w:rPr>
          <w:rFonts w:hint="eastAsia"/>
        </w:rPr>
        <w:t>中医药脑病循证研究项目管理分析系统</w:t>
      </w:r>
      <w:r>
        <w:rPr>
          <w:rFonts w:hint="eastAsia"/>
        </w:rPr>
        <w:br w:type="textWrapping"/>
      </w:r>
      <w:r>
        <w:rPr>
          <w:rFonts w:hint="eastAsia"/>
        </w:rPr>
        <w:t>项目</w:t>
      </w:r>
      <w:r>
        <w:rPr>
          <w:rFonts w:hint="eastAsia"/>
          <w:lang w:val="en-US" w:eastAsia="zh-CN"/>
        </w:rPr>
        <w:t>需求文件</w:t>
      </w:r>
    </w:p>
    <w:p>
      <w:pPr>
        <w:pStyle w:val="12"/>
      </w:pPr>
      <w:r>
        <w:rPr>
          <w:rFonts w:hint="eastAsia"/>
        </w:rPr>
        <w:t>需求描述</w:t>
      </w:r>
    </w:p>
    <w:p>
      <w:pPr>
        <w:tabs>
          <w:tab w:val="left" w:pos="900"/>
        </w:tabs>
        <w:spacing w:line="360" w:lineRule="auto"/>
        <w:ind w:firstLine="420" w:firstLineChars="200"/>
        <w:rPr>
          <w:rFonts w:ascii="等线" w:hAnsi="等线" w:eastAsia="等线"/>
        </w:rPr>
      </w:pPr>
      <w:r>
        <w:rPr>
          <w:rFonts w:hint="eastAsia"/>
        </w:rPr>
        <w:t>中医药循证医学能力建设项目脑病工作组需要完成国家中医药管理局司便函[2020] 65号—国家中医药管理局科技司关于印发《中医药循证能力建设项目实施方案》的通知及《脑病中医药优先主题设置与循证研究实施方案设计项目》中“建成标准统一的中医药循证研究项目管理分析系统，实现各建设单位研究数据的互联互通，进而建成中国中医药循证医学中心数据总库”的任务。</w:t>
      </w:r>
    </w:p>
    <w:p>
      <w:pPr>
        <w:tabs>
          <w:tab w:val="left" w:pos="900"/>
        </w:tabs>
        <w:spacing w:line="360" w:lineRule="auto"/>
        <w:ind w:firstLine="420" w:firstLineChars="200"/>
      </w:pPr>
      <w:r>
        <w:rPr>
          <w:rFonts w:hint="eastAsia"/>
        </w:rPr>
        <w:t>现向社会公开招标支撑任务的科研数据信息管理平台，支持全国范围内多家医疗机构共同开展科学研究工作，必须支持真实世界研究项目类型，将所有证据链进行统筹管理，形成可溯源、真实可靠、安全可信的研究证据平台。至少支持单病种1</w:t>
      </w:r>
      <w:r>
        <w:t>0</w:t>
      </w:r>
      <w:r>
        <w:rPr>
          <w:rFonts w:hint="eastAsia"/>
        </w:rPr>
        <w:t>个以上，可采集参与单位的临床研究数据，也可以通过接口平台汇总和合并分析，满足不同项目的流程配置并进行逻辑质控管理等，需具备项目管理所需要的辅助功能。</w:t>
      </w:r>
    </w:p>
    <w:p>
      <w:pPr>
        <w:pStyle w:val="14"/>
      </w:pPr>
      <w:r>
        <w:rPr>
          <w:rFonts w:hint="eastAsia"/>
        </w:rPr>
        <w:t>科研证据数据中心的结构说明</w:t>
      </w:r>
    </w:p>
    <w:p>
      <w:pPr>
        <w:widowControl/>
        <w:spacing w:line="360" w:lineRule="auto"/>
        <w:jc w:val="left"/>
      </w:pPr>
      <w:r>
        <w:drawing>
          <wp:inline distT="0" distB="0" distL="0" distR="0">
            <wp:extent cx="5274310" cy="243078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430780"/>
                    </a:xfrm>
                    <a:prstGeom prst="rect">
                      <a:avLst/>
                    </a:prstGeom>
                    <a:noFill/>
                    <a:ln>
                      <a:noFill/>
                    </a:ln>
                  </pic:spPr>
                </pic:pic>
              </a:graphicData>
            </a:graphic>
          </wp:inline>
        </w:drawing>
      </w:r>
    </w:p>
    <w:p>
      <w:pPr>
        <w:widowControl/>
        <w:spacing w:line="360" w:lineRule="auto"/>
        <w:jc w:val="left"/>
      </w:pPr>
      <w:r>
        <w:t xml:space="preserve">  </w:t>
      </w:r>
    </w:p>
    <w:p>
      <w:r>
        <w:br w:type="page"/>
      </w:r>
    </w:p>
    <w:p>
      <w:pPr>
        <w:pStyle w:val="12"/>
      </w:pPr>
      <w:r>
        <w:rPr>
          <w:rFonts w:hint="eastAsia"/>
          <w:lang w:val="en-US" w:eastAsia="zh-CN"/>
        </w:rPr>
        <w:t>项目</w:t>
      </w:r>
      <w:bookmarkStart w:id="0" w:name="_GoBack"/>
      <w:bookmarkEnd w:id="0"/>
      <w:r>
        <w:rPr>
          <w:rFonts w:hint="eastAsia"/>
        </w:rPr>
        <w:t>功能列表</w:t>
      </w:r>
    </w:p>
    <w:p>
      <w:pPr>
        <w:pStyle w:val="14"/>
      </w:pPr>
      <w:r>
        <w:rPr>
          <w:rFonts w:hint="eastAsia"/>
        </w:rPr>
        <w:t>真实世界研究项目所需功能列表</w:t>
      </w:r>
    </w:p>
    <w:tbl>
      <w:tblPr>
        <w:tblStyle w:val="8"/>
        <w:tblW w:w="9355" w:type="dxa"/>
        <w:jc w:val="center"/>
        <w:tblLayout w:type="fixed"/>
        <w:tblCellMar>
          <w:top w:w="0" w:type="dxa"/>
          <w:left w:w="108" w:type="dxa"/>
          <w:bottom w:w="0" w:type="dxa"/>
          <w:right w:w="108" w:type="dxa"/>
        </w:tblCellMar>
      </w:tblPr>
      <w:tblGrid>
        <w:gridCol w:w="1696"/>
        <w:gridCol w:w="7659"/>
      </w:tblGrid>
      <w:tr>
        <w:tblPrEx>
          <w:tblCellMar>
            <w:top w:w="0" w:type="dxa"/>
            <w:left w:w="108" w:type="dxa"/>
            <w:bottom w:w="0" w:type="dxa"/>
            <w:right w:w="108" w:type="dxa"/>
          </w:tblCellMar>
        </w:tblPrEx>
        <w:trPr>
          <w:trHeight w:val="551"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rPr>
                <w:rFonts w:ascii="宋体" w:hAnsi="宋体" w:cs="宋体"/>
                <w:b/>
                <w:bCs/>
                <w:color w:val="000000"/>
                <w:sz w:val="24"/>
                <w:szCs w:val="24"/>
              </w:rPr>
            </w:pPr>
            <w:r>
              <w:rPr>
                <w:rFonts w:hint="eastAsia" w:ascii="宋体" w:hAnsi="宋体" w:cs="宋体"/>
                <w:b/>
                <w:bCs/>
                <w:color w:val="000000"/>
                <w:sz w:val="24"/>
                <w:szCs w:val="24"/>
              </w:rPr>
              <w:t>功能模块</w:t>
            </w:r>
          </w:p>
        </w:tc>
        <w:tc>
          <w:tcPr>
            <w:tcW w:w="7659"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rPr>
                <w:rFonts w:ascii="宋体" w:hAnsi="宋体" w:cs="宋体"/>
                <w:b/>
                <w:bCs/>
                <w:color w:val="000000"/>
                <w:sz w:val="24"/>
                <w:szCs w:val="24"/>
              </w:rPr>
            </w:pPr>
            <w:r>
              <w:rPr>
                <w:rFonts w:hint="eastAsia" w:ascii="宋体" w:hAnsi="宋体" w:cs="宋体"/>
                <w:b/>
                <w:bCs/>
                <w:color w:val="000000"/>
                <w:sz w:val="24"/>
                <w:szCs w:val="24"/>
              </w:rPr>
              <w:t>功能描述</w:t>
            </w:r>
          </w:p>
        </w:tc>
      </w:tr>
      <w:tr>
        <w:tblPrEx>
          <w:tblCellMar>
            <w:top w:w="0" w:type="dxa"/>
            <w:left w:w="108" w:type="dxa"/>
            <w:bottom w:w="0" w:type="dxa"/>
            <w:right w:w="108" w:type="dxa"/>
          </w:tblCellMar>
        </w:tblPrEx>
        <w:trPr>
          <w:trHeight w:val="855"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宋体"/>
                <w:b/>
                <w:bCs/>
                <w:color w:val="000000"/>
                <w:sz w:val="24"/>
                <w:szCs w:val="24"/>
              </w:rPr>
            </w:pPr>
            <w:r>
              <w:rPr>
                <w:rFonts w:hint="eastAsia" w:ascii="等线" w:hAnsi="等线" w:eastAsia="等线" w:cs="宋体"/>
                <w:color w:val="000000"/>
                <w:szCs w:val="21"/>
              </w:rPr>
              <w:t>诊断表单设计</w:t>
            </w:r>
          </w:p>
        </w:tc>
        <w:tc>
          <w:tcPr>
            <w:tcW w:w="7659" w:type="dxa"/>
            <w:tcBorders>
              <w:top w:val="single" w:color="auto" w:sz="4" w:space="0"/>
              <w:left w:val="nil"/>
              <w:bottom w:val="single" w:color="auto" w:sz="4" w:space="0"/>
              <w:right w:val="single" w:color="auto" w:sz="4" w:space="0"/>
            </w:tcBorders>
            <w:shd w:val="clear" w:color="auto" w:fill="auto"/>
            <w:vAlign w:val="center"/>
          </w:tcPr>
          <w:p>
            <w:pPr>
              <w:rPr>
                <w:rFonts w:ascii="等线" w:hAnsi="等线" w:eastAsia="等线" w:cs="宋体"/>
                <w:b/>
                <w:bCs/>
                <w:color w:val="000000"/>
                <w:sz w:val="24"/>
                <w:szCs w:val="24"/>
              </w:rPr>
            </w:pPr>
            <w:r>
              <w:rPr>
                <w:rFonts w:hint="eastAsia" w:ascii="等线" w:hAnsi="等线" w:eastAsia="等线" w:cs="宋体"/>
                <w:color w:val="000000"/>
                <w:szCs w:val="21"/>
              </w:rPr>
              <w:t>根据ICD11诊断，自定义设计诊断专用表单，在选择患者病历主要诊断后填写该表单，并可作为检索及分析条件进行结构化展现、导出；</w:t>
            </w:r>
          </w:p>
        </w:tc>
      </w:tr>
      <w:tr>
        <w:tblPrEx>
          <w:tblCellMar>
            <w:top w:w="0" w:type="dxa"/>
            <w:left w:w="108" w:type="dxa"/>
            <w:bottom w:w="0" w:type="dxa"/>
            <w:right w:w="108" w:type="dxa"/>
          </w:tblCellMar>
        </w:tblPrEx>
        <w:trPr>
          <w:trHeight w:val="855"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宋体"/>
                <w:b/>
                <w:bCs/>
                <w:color w:val="000000"/>
                <w:sz w:val="24"/>
                <w:szCs w:val="24"/>
              </w:rPr>
            </w:pPr>
            <w:r>
              <w:rPr>
                <w:rFonts w:hint="eastAsia" w:ascii="等线" w:hAnsi="等线" w:eastAsia="等线" w:cs="宋体"/>
                <w:color w:val="000000"/>
                <w:szCs w:val="21"/>
              </w:rPr>
              <w:t>采集表设计</w:t>
            </w:r>
          </w:p>
        </w:tc>
        <w:tc>
          <w:tcPr>
            <w:tcW w:w="7659" w:type="dxa"/>
            <w:tcBorders>
              <w:top w:val="single" w:color="auto" w:sz="4" w:space="0"/>
              <w:left w:val="nil"/>
              <w:bottom w:val="single" w:color="auto" w:sz="4" w:space="0"/>
              <w:right w:val="single" w:color="auto" w:sz="4" w:space="0"/>
            </w:tcBorders>
            <w:shd w:val="clear" w:color="auto" w:fill="auto"/>
            <w:vAlign w:val="center"/>
          </w:tcPr>
          <w:p>
            <w:pPr>
              <w:rPr>
                <w:rFonts w:ascii="等线" w:hAnsi="等线" w:eastAsia="等线" w:cs="宋体"/>
                <w:b/>
                <w:bCs/>
                <w:color w:val="000000"/>
                <w:sz w:val="24"/>
                <w:szCs w:val="24"/>
              </w:rPr>
            </w:pPr>
            <w:r>
              <w:rPr>
                <w:rFonts w:hint="eastAsia" w:ascii="等线" w:hAnsi="等线" w:eastAsia="等线" w:cs="宋体"/>
                <w:color w:val="000000"/>
                <w:szCs w:val="21"/>
              </w:rPr>
              <w:t>自定义设计采集表，用于病历补充的信息表单，采集表的各题目及选项采用标准字典（系统唯一）设计，使用拖拽的方式进行表单设计，支持逻辑设置，如嵌套逻辑（包含可见不可用和不可见两种设计方式）、数值范围、自动计算；采集表设计完成后可进行复用</w:t>
            </w:r>
          </w:p>
        </w:tc>
      </w:tr>
      <w:tr>
        <w:tblPrEx>
          <w:tblCellMar>
            <w:top w:w="0" w:type="dxa"/>
            <w:left w:w="108" w:type="dxa"/>
            <w:bottom w:w="0" w:type="dxa"/>
            <w:right w:w="108" w:type="dxa"/>
          </w:tblCellMar>
        </w:tblPrEx>
        <w:trPr>
          <w:trHeight w:val="855"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宋体"/>
                <w:color w:val="000000"/>
                <w:szCs w:val="21"/>
              </w:rPr>
            </w:pPr>
            <w:r>
              <w:rPr>
                <w:rFonts w:hint="eastAsia" w:ascii="等线" w:hAnsi="等线" w:eastAsia="等线" w:cs="宋体"/>
                <w:color w:val="000000"/>
                <w:szCs w:val="21"/>
              </w:rPr>
              <w:t>患者维护</w:t>
            </w:r>
          </w:p>
        </w:tc>
        <w:tc>
          <w:tcPr>
            <w:tcW w:w="7659" w:type="dxa"/>
            <w:tcBorders>
              <w:top w:val="single" w:color="auto" w:sz="4" w:space="0"/>
              <w:left w:val="nil"/>
              <w:bottom w:val="single" w:color="auto" w:sz="4" w:space="0"/>
              <w:right w:val="single" w:color="auto" w:sz="4" w:space="0"/>
            </w:tcBorders>
            <w:shd w:val="clear" w:color="auto" w:fill="auto"/>
            <w:vAlign w:val="center"/>
          </w:tcPr>
          <w:p>
            <w:pPr>
              <w:rPr>
                <w:rFonts w:ascii="等线" w:hAnsi="等线" w:eastAsia="等线" w:cs="宋体"/>
                <w:color w:val="000000"/>
                <w:szCs w:val="21"/>
              </w:rPr>
            </w:pPr>
            <w:r>
              <w:rPr>
                <w:rFonts w:hint="eastAsia" w:ascii="等线" w:hAnsi="等线" w:eastAsia="等线" w:cs="宋体"/>
                <w:color w:val="000000"/>
                <w:szCs w:val="21"/>
              </w:rPr>
              <w:t>患者信息维护，手机端登记时支持使用身份证拍照进行识别，减少登记时人工登记的工作量；为保护患者隐私，身份证号码采用加密显示；患者检索分为医生个人和机构所有两个层级，默认显示医生个人患者；医生可查看患者的历次病历记录，并进行编辑等操作，由系统记录用户的操作内容；</w:t>
            </w:r>
          </w:p>
        </w:tc>
      </w:tr>
      <w:tr>
        <w:tblPrEx>
          <w:tblCellMar>
            <w:top w:w="0" w:type="dxa"/>
            <w:left w:w="108" w:type="dxa"/>
            <w:bottom w:w="0" w:type="dxa"/>
            <w:right w:w="108" w:type="dxa"/>
          </w:tblCellMar>
        </w:tblPrEx>
        <w:trPr>
          <w:trHeight w:val="855"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宋体"/>
                <w:b/>
                <w:bCs/>
                <w:color w:val="000000"/>
                <w:sz w:val="24"/>
                <w:szCs w:val="24"/>
              </w:rPr>
            </w:pPr>
            <w:r>
              <w:rPr>
                <w:rFonts w:hint="eastAsia" w:ascii="等线" w:hAnsi="等线" w:eastAsia="等线" w:cs="宋体"/>
                <w:color w:val="000000"/>
                <w:szCs w:val="21"/>
              </w:rPr>
              <w:t>病历记录</w:t>
            </w:r>
          </w:p>
        </w:tc>
        <w:tc>
          <w:tcPr>
            <w:tcW w:w="7659" w:type="dxa"/>
            <w:tcBorders>
              <w:top w:val="single" w:color="auto" w:sz="4" w:space="0"/>
              <w:left w:val="nil"/>
              <w:bottom w:val="single" w:color="auto" w:sz="4" w:space="0"/>
              <w:right w:val="single" w:color="auto" w:sz="4" w:space="0"/>
            </w:tcBorders>
            <w:shd w:val="clear" w:color="auto" w:fill="auto"/>
            <w:vAlign w:val="center"/>
          </w:tcPr>
          <w:p>
            <w:pPr>
              <w:rPr>
                <w:rFonts w:ascii="等线" w:hAnsi="等线" w:eastAsia="等线" w:cs="宋体"/>
                <w:b/>
                <w:bCs/>
                <w:color w:val="000000"/>
                <w:sz w:val="24"/>
                <w:szCs w:val="24"/>
              </w:rPr>
            </w:pPr>
            <w:r>
              <w:rPr>
                <w:rFonts w:hint="eastAsia" w:ascii="等线" w:hAnsi="等线" w:eastAsia="等线" w:cs="宋体"/>
                <w:color w:val="000000"/>
                <w:szCs w:val="21"/>
              </w:rPr>
              <w:t>患者历次就诊记录登记，创建就诊记录时选择本次就诊的主要诊断和次要诊断，根据选择的主要诊断来填写诊断表单，病历中还支持拍照、文本、采集表三种方式补充；病历记录按照就诊日期排序，可编辑病历记录，由系统记录用户的编辑操作内容；</w:t>
            </w:r>
          </w:p>
        </w:tc>
      </w:tr>
      <w:tr>
        <w:tblPrEx>
          <w:tblCellMar>
            <w:top w:w="0" w:type="dxa"/>
            <w:left w:w="108" w:type="dxa"/>
            <w:bottom w:w="0" w:type="dxa"/>
            <w:right w:w="108" w:type="dxa"/>
          </w:tblCellMar>
        </w:tblPrEx>
        <w:trPr>
          <w:trHeight w:val="855"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宋体"/>
                <w:b/>
                <w:bCs/>
                <w:color w:val="000000"/>
                <w:sz w:val="24"/>
                <w:szCs w:val="24"/>
              </w:rPr>
            </w:pPr>
            <w:r>
              <w:rPr>
                <w:rFonts w:hint="eastAsia" w:ascii="等线" w:hAnsi="等线" w:eastAsia="等线" w:cs="宋体"/>
                <w:color w:val="000000"/>
                <w:szCs w:val="21"/>
              </w:rPr>
              <w:t>项目管理</w:t>
            </w:r>
          </w:p>
        </w:tc>
        <w:tc>
          <w:tcPr>
            <w:tcW w:w="7659" w:type="dxa"/>
            <w:tcBorders>
              <w:top w:val="single" w:color="auto" w:sz="4" w:space="0"/>
              <w:left w:val="nil"/>
              <w:bottom w:val="single" w:color="auto" w:sz="4" w:space="0"/>
              <w:right w:val="single" w:color="auto" w:sz="4" w:space="0"/>
            </w:tcBorders>
            <w:shd w:val="clear" w:color="auto" w:fill="auto"/>
            <w:vAlign w:val="center"/>
          </w:tcPr>
          <w:p>
            <w:pPr>
              <w:rPr>
                <w:rFonts w:ascii="等线" w:hAnsi="等线" w:eastAsia="等线" w:cs="宋体"/>
                <w:b/>
                <w:bCs/>
                <w:color w:val="000000"/>
                <w:sz w:val="24"/>
                <w:szCs w:val="24"/>
              </w:rPr>
            </w:pPr>
            <w:r>
              <w:rPr>
                <w:rFonts w:hint="eastAsia" w:ascii="等线" w:hAnsi="等线" w:eastAsia="等线" w:cs="宋体"/>
                <w:color w:val="000000"/>
                <w:szCs w:val="21"/>
              </w:rPr>
              <w:t>维护项目信息，包含项目名称、项目内容、研究目标等信息；可通过筛选功能，批量选择符合项目目标的患者进入项目内，进行二次分析及数据挖掘；</w:t>
            </w:r>
          </w:p>
        </w:tc>
      </w:tr>
      <w:tr>
        <w:tblPrEx>
          <w:tblCellMar>
            <w:top w:w="0" w:type="dxa"/>
            <w:left w:w="108" w:type="dxa"/>
            <w:bottom w:w="0" w:type="dxa"/>
            <w:right w:w="108" w:type="dxa"/>
          </w:tblCellMar>
        </w:tblPrEx>
        <w:trPr>
          <w:trHeight w:val="855"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宋体"/>
                <w:color w:val="000000"/>
                <w:szCs w:val="21"/>
              </w:rPr>
            </w:pPr>
            <w:r>
              <w:rPr>
                <w:rFonts w:hint="eastAsia" w:ascii="等线" w:hAnsi="等线" w:eastAsia="等线" w:cs="宋体"/>
                <w:color w:val="000000"/>
                <w:szCs w:val="21"/>
              </w:rPr>
              <w:t>智能识别</w:t>
            </w:r>
          </w:p>
        </w:tc>
        <w:tc>
          <w:tcPr>
            <w:tcW w:w="7659" w:type="dxa"/>
            <w:tcBorders>
              <w:top w:val="single" w:color="auto" w:sz="4" w:space="0"/>
              <w:left w:val="nil"/>
              <w:bottom w:val="single" w:color="auto" w:sz="4" w:space="0"/>
              <w:right w:val="single" w:color="auto" w:sz="4" w:space="0"/>
            </w:tcBorders>
            <w:shd w:val="clear" w:color="auto" w:fill="auto"/>
            <w:vAlign w:val="center"/>
          </w:tcPr>
          <w:p>
            <w:pPr>
              <w:rPr>
                <w:rFonts w:ascii="等线" w:hAnsi="等线" w:eastAsia="等线" w:cs="宋体"/>
                <w:color w:val="000000"/>
                <w:szCs w:val="21"/>
              </w:rPr>
            </w:pPr>
            <w:r>
              <w:rPr>
                <w:rFonts w:hint="eastAsia" w:ascii="等线" w:hAnsi="等线" w:eastAsia="等线" w:cs="宋体"/>
                <w:color w:val="000000"/>
                <w:szCs w:val="21"/>
              </w:rPr>
              <w:t>可设置采集内容识别模板，并设置对应字段信息，实现病历报告、化验报告、检查报告等报告内容的自动填充，便于非实现接口对接的中心内数据提交</w:t>
            </w:r>
          </w:p>
        </w:tc>
      </w:tr>
      <w:tr>
        <w:tblPrEx>
          <w:tblCellMar>
            <w:top w:w="0" w:type="dxa"/>
            <w:left w:w="108" w:type="dxa"/>
            <w:bottom w:w="0" w:type="dxa"/>
            <w:right w:w="108" w:type="dxa"/>
          </w:tblCellMar>
        </w:tblPrEx>
        <w:trPr>
          <w:trHeight w:val="855"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宋体"/>
                <w:b/>
                <w:bCs/>
                <w:color w:val="000000"/>
                <w:sz w:val="24"/>
                <w:szCs w:val="24"/>
              </w:rPr>
            </w:pPr>
            <w:r>
              <w:rPr>
                <w:rFonts w:hint="eastAsia" w:ascii="等线" w:hAnsi="等线" w:eastAsia="等线" w:cs="宋体"/>
                <w:color w:val="000000"/>
                <w:szCs w:val="21"/>
              </w:rPr>
              <w:t>数据导出</w:t>
            </w:r>
          </w:p>
        </w:tc>
        <w:tc>
          <w:tcPr>
            <w:tcW w:w="7659" w:type="dxa"/>
            <w:tcBorders>
              <w:top w:val="single" w:color="auto" w:sz="4" w:space="0"/>
              <w:left w:val="nil"/>
              <w:bottom w:val="single" w:color="auto" w:sz="4" w:space="0"/>
              <w:right w:val="single" w:color="auto" w:sz="4" w:space="0"/>
            </w:tcBorders>
            <w:shd w:val="clear" w:color="auto" w:fill="auto"/>
            <w:vAlign w:val="center"/>
          </w:tcPr>
          <w:p>
            <w:pPr>
              <w:rPr>
                <w:rFonts w:ascii="等线" w:hAnsi="等线" w:eastAsia="等线" w:cs="宋体"/>
                <w:b/>
                <w:bCs/>
                <w:color w:val="000000"/>
                <w:sz w:val="24"/>
                <w:szCs w:val="24"/>
              </w:rPr>
            </w:pPr>
            <w:r>
              <w:rPr>
                <w:rFonts w:hint="eastAsia" w:ascii="等线" w:hAnsi="等线" w:eastAsia="等线" w:cs="宋体"/>
                <w:color w:val="000000"/>
                <w:szCs w:val="21"/>
              </w:rPr>
              <w:t>支持按照不同诊断进行病历数据导出，导出格式包含该主要诊断的全部患者基础信息及诊断表单信息；病历记录信息根据选择的患者病历进行标准化数据导出，可直接导入SPSS进行分析</w:t>
            </w:r>
          </w:p>
        </w:tc>
      </w:tr>
      <w:tr>
        <w:tblPrEx>
          <w:tblCellMar>
            <w:top w:w="0" w:type="dxa"/>
            <w:left w:w="108" w:type="dxa"/>
            <w:bottom w:w="0" w:type="dxa"/>
            <w:right w:w="108" w:type="dxa"/>
          </w:tblCellMar>
        </w:tblPrEx>
        <w:trPr>
          <w:trHeight w:val="855"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宋体"/>
                <w:color w:val="000000"/>
                <w:szCs w:val="21"/>
              </w:rPr>
            </w:pPr>
            <w:r>
              <w:rPr>
                <w:rFonts w:hint="eastAsia" w:ascii="等线" w:hAnsi="等线" w:eastAsia="等线" w:cs="宋体"/>
                <w:color w:val="000000"/>
                <w:szCs w:val="21"/>
              </w:rPr>
              <w:t>数据分析</w:t>
            </w:r>
          </w:p>
        </w:tc>
        <w:tc>
          <w:tcPr>
            <w:tcW w:w="7659" w:type="dxa"/>
            <w:tcBorders>
              <w:top w:val="single" w:color="auto" w:sz="4" w:space="0"/>
              <w:left w:val="nil"/>
              <w:bottom w:val="single" w:color="auto" w:sz="4" w:space="0"/>
              <w:right w:val="single" w:color="auto" w:sz="4" w:space="0"/>
            </w:tcBorders>
            <w:shd w:val="clear" w:color="auto" w:fill="auto"/>
            <w:vAlign w:val="center"/>
          </w:tcPr>
          <w:p>
            <w:pPr>
              <w:rPr>
                <w:rFonts w:ascii="等线" w:hAnsi="等线" w:eastAsia="等线" w:cs="宋体"/>
                <w:color w:val="000000"/>
                <w:szCs w:val="21"/>
              </w:rPr>
            </w:pPr>
            <w:r>
              <w:rPr>
                <w:rFonts w:hint="eastAsia" w:ascii="等线" w:hAnsi="等线" w:eastAsia="等线" w:cs="宋体"/>
                <w:color w:val="000000"/>
                <w:szCs w:val="21"/>
              </w:rPr>
              <w:t>提供标准算法的在线数据分析功能，支持分析报告的多种数据展现形式</w:t>
            </w:r>
          </w:p>
        </w:tc>
      </w:tr>
      <w:tr>
        <w:tblPrEx>
          <w:tblCellMar>
            <w:top w:w="0" w:type="dxa"/>
            <w:left w:w="108" w:type="dxa"/>
            <w:bottom w:w="0" w:type="dxa"/>
            <w:right w:w="108" w:type="dxa"/>
          </w:tblCellMar>
        </w:tblPrEx>
        <w:trPr>
          <w:trHeight w:val="855"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宋体"/>
                <w:b/>
                <w:bCs/>
                <w:color w:val="000000"/>
                <w:sz w:val="24"/>
                <w:szCs w:val="24"/>
              </w:rPr>
            </w:pPr>
            <w:r>
              <w:rPr>
                <w:rFonts w:hint="eastAsia" w:ascii="等线" w:hAnsi="等线" w:eastAsia="等线" w:cs="宋体"/>
                <w:color w:val="000000"/>
                <w:szCs w:val="21"/>
              </w:rPr>
              <w:t>数据对接</w:t>
            </w:r>
          </w:p>
        </w:tc>
        <w:tc>
          <w:tcPr>
            <w:tcW w:w="7659" w:type="dxa"/>
            <w:tcBorders>
              <w:top w:val="single" w:color="auto" w:sz="4" w:space="0"/>
              <w:left w:val="nil"/>
              <w:bottom w:val="single" w:color="auto" w:sz="4" w:space="0"/>
              <w:right w:val="single" w:color="auto" w:sz="4" w:space="0"/>
            </w:tcBorders>
            <w:shd w:val="clear" w:color="auto" w:fill="auto"/>
            <w:vAlign w:val="center"/>
          </w:tcPr>
          <w:p>
            <w:pPr>
              <w:rPr>
                <w:rFonts w:ascii="等线" w:hAnsi="等线" w:eastAsia="等线" w:cs="宋体"/>
                <w:b/>
                <w:bCs/>
                <w:color w:val="000000"/>
                <w:sz w:val="24"/>
                <w:szCs w:val="24"/>
              </w:rPr>
            </w:pPr>
            <w:r>
              <w:rPr>
                <w:rFonts w:hint="eastAsia" w:ascii="等线" w:hAnsi="等线" w:eastAsia="等线" w:cs="宋体"/>
                <w:color w:val="000000"/>
                <w:szCs w:val="21"/>
              </w:rPr>
              <w:t>接口平台</w:t>
            </w:r>
            <w:r>
              <w:rPr>
                <w:rFonts w:ascii="等线" w:hAnsi="等线" w:eastAsia="等线" w:cs="宋体"/>
                <w:color w:val="000000"/>
                <w:szCs w:val="21"/>
              </w:rPr>
              <w:t>传输数据后对照匹配</w:t>
            </w:r>
          </w:p>
        </w:tc>
      </w:tr>
    </w:tbl>
    <w:p>
      <w:pPr>
        <w:pStyle w:val="14"/>
      </w:pPr>
      <w:r>
        <w:rPr>
          <w:rFonts w:hint="eastAsia"/>
        </w:rPr>
        <w:t>术语标准化功能列表</w:t>
      </w:r>
    </w:p>
    <w:tbl>
      <w:tblPr>
        <w:tblStyle w:val="8"/>
        <w:tblW w:w="9355" w:type="dxa"/>
        <w:jc w:val="center"/>
        <w:tblLayout w:type="fixed"/>
        <w:tblCellMar>
          <w:top w:w="0" w:type="dxa"/>
          <w:left w:w="108" w:type="dxa"/>
          <w:bottom w:w="0" w:type="dxa"/>
          <w:right w:w="108" w:type="dxa"/>
        </w:tblCellMar>
      </w:tblPr>
      <w:tblGrid>
        <w:gridCol w:w="1696"/>
        <w:gridCol w:w="7659"/>
      </w:tblGrid>
      <w:tr>
        <w:tblPrEx>
          <w:tblCellMar>
            <w:top w:w="0" w:type="dxa"/>
            <w:left w:w="108" w:type="dxa"/>
            <w:bottom w:w="0" w:type="dxa"/>
            <w:right w:w="108" w:type="dxa"/>
          </w:tblCellMar>
        </w:tblPrEx>
        <w:trPr>
          <w:trHeight w:val="693"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rPr>
                <w:rFonts w:ascii="宋体" w:hAnsi="宋体" w:cs="宋体"/>
                <w:color w:val="000000"/>
                <w:szCs w:val="21"/>
              </w:rPr>
            </w:pPr>
            <w:r>
              <w:rPr>
                <w:rFonts w:hint="eastAsia" w:ascii="宋体" w:hAnsi="宋体" w:cs="宋体"/>
                <w:b/>
                <w:bCs/>
                <w:color w:val="000000"/>
                <w:sz w:val="24"/>
                <w:szCs w:val="24"/>
              </w:rPr>
              <w:t>功能模块</w:t>
            </w:r>
          </w:p>
        </w:tc>
        <w:tc>
          <w:tcPr>
            <w:tcW w:w="7659"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rPr>
                <w:rFonts w:ascii="宋体" w:hAnsi="宋体" w:cs="宋体"/>
                <w:color w:val="000000"/>
                <w:szCs w:val="21"/>
              </w:rPr>
            </w:pPr>
            <w:r>
              <w:rPr>
                <w:rFonts w:hint="eastAsia" w:ascii="宋体" w:hAnsi="宋体" w:cs="宋体"/>
                <w:b/>
                <w:bCs/>
                <w:color w:val="000000"/>
                <w:sz w:val="24"/>
                <w:szCs w:val="24"/>
              </w:rPr>
              <w:t>功能描述</w:t>
            </w:r>
          </w:p>
        </w:tc>
      </w:tr>
      <w:tr>
        <w:tblPrEx>
          <w:tblCellMar>
            <w:top w:w="0" w:type="dxa"/>
            <w:left w:w="108" w:type="dxa"/>
            <w:bottom w:w="0" w:type="dxa"/>
            <w:right w:w="108" w:type="dxa"/>
          </w:tblCellMar>
        </w:tblPrEx>
        <w:trPr>
          <w:trHeight w:val="567"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宋体"/>
                <w:color w:val="000000"/>
                <w:szCs w:val="21"/>
              </w:rPr>
            </w:pPr>
            <w:r>
              <w:rPr>
                <w:rFonts w:hint="eastAsia" w:ascii="等线" w:hAnsi="等线" w:eastAsia="等线" w:cs="宋体"/>
                <w:color w:val="000000"/>
                <w:szCs w:val="21"/>
              </w:rPr>
              <w:t>术语标准化</w:t>
            </w:r>
          </w:p>
        </w:tc>
        <w:tc>
          <w:tcPr>
            <w:tcW w:w="7659" w:type="dxa"/>
            <w:tcBorders>
              <w:top w:val="single" w:color="auto" w:sz="4" w:space="0"/>
              <w:left w:val="nil"/>
              <w:bottom w:val="single" w:color="auto" w:sz="4" w:space="0"/>
              <w:right w:val="single" w:color="auto" w:sz="4" w:space="0"/>
            </w:tcBorders>
            <w:shd w:val="clear" w:color="auto" w:fill="auto"/>
            <w:vAlign w:val="center"/>
          </w:tcPr>
          <w:p>
            <w:pPr>
              <w:rPr>
                <w:rFonts w:ascii="等线" w:hAnsi="等线" w:eastAsia="等线" w:cs="宋体"/>
                <w:color w:val="000000"/>
                <w:szCs w:val="21"/>
              </w:rPr>
            </w:pPr>
            <w:r>
              <w:rPr>
                <w:rFonts w:hint="eastAsia" w:ascii="等线" w:hAnsi="等线" w:eastAsia="等线" w:cs="宋体"/>
                <w:color w:val="000000"/>
                <w:szCs w:val="21"/>
              </w:rPr>
              <w:t>对本项目中涉及到的内容，建立术语库，设置术语间关系</w:t>
            </w:r>
          </w:p>
        </w:tc>
      </w:tr>
      <w:tr>
        <w:tblPrEx>
          <w:tblCellMar>
            <w:top w:w="0" w:type="dxa"/>
            <w:left w:w="108" w:type="dxa"/>
            <w:bottom w:w="0" w:type="dxa"/>
            <w:right w:w="108" w:type="dxa"/>
          </w:tblCellMar>
        </w:tblPrEx>
        <w:trPr>
          <w:trHeight w:val="567"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宋体"/>
                <w:color w:val="000000"/>
                <w:szCs w:val="21"/>
              </w:rPr>
            </w:pPr>
            <w:r>
              <w:rPr>
                <w:rFonts w:hint="eastAsia" w:ascii="等线" w:hAnsi="等线" w:eastAsia="等线" w:cs="宋体"/>
                <w:color w:val="000000"/>
                <w:szCs w:val="21"/>
              </w:rPr>
              <w:t>标准化数据导入</w:t>
            </w:r>
          </w:p>
        </w:tc>
        <w:tc>
          <w:tcPr>
            <w:tcW w:w="7659" w:type="dxa"/>
            <w:tcBorders>
              <w:top w:val="single" w:color="auto" w:sz="4" w:space="0"/>
              <w:left w:val="nil"/>
              <w:bottom w:val="single" w:color="auto" w:sz="4" w:space="0"/>
              <w:right w:val="single" w:color="auto" w:sz="4" w:space="0"/>
            </w:tcBorders>
            <w:shd w:val="clear" w:color="auto" w:fill="auto"/>
            <w:vAlign w:val="center"/>
          </w:tcPr>
          <w:p>
            <w:pPr>
              <w:rPr>
                <w:rFonts w:ascii="等线" w:hAnsi="等线" w:eastAsia="等线" w:cs="宋体"/>
                <w:color w:val="000000"/>
                <w:szCs w:val="21"/>
              </w:rPr>
            </w:pPr>
            <w:r>
              <w:rPr>
                <w:rFonts w:hint="eastAsia" w:ascii="等线" w:hAnsi="等线" w:eastAsia="等线" w:cs="宋体"/>
                <w:color w:val="000000"/>
                <w:szCs w:val="21"/>
              </w:rPr>
              <w:t>支持将符合标准化格式的数据导入到系统中，便于及时上传数据</w:t>
            </w:r>
          </w:p>
        </w:tc>
      </w:tr>
      <w:tr>
        <w:tblPrEx>
          <w:tblCellMar>
            <w:top w:w="0" w:type="dxa"/>
            <w:left w:w="108" w:type="dxa"/>
            <w:bottom w:w="0" w:type="dxa"/>
            <w:right w:w="108" w:type="dxa"/>
          </w:tblCellMar>
        </w:tblPrEx>
        <w:trPr>
          <w:trHeight w:val="855"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宋体"/>
                <w:color w:val="000000"/>
                <w:szCs w:val="21"/>
              </w:rPr>
            </w:pPr>
            <w:r>
              <w:rPr>
                <w:rFonts w:hint="eastAsia" w:ascii="等线" w:hAnsi="等线" w:eastAsia="等线" w:cs="宋体"/>
                <w:color w:val="000000"/>
                <w:szCs w:val="21"/>
              </w:rPr>
              <w:t>接口管理</w:t>
            </w:r>
          </w:p>
        </w:tc>
        <w:tc>
          <w:tcPr>
            <w:tcW w:w="7659" w:type="dxa"/>
            <w:tcBorders>
              <w:top w:val="single" w:color="auto" w:sz="4" w:space="0"/>
              <w:left w:val="nil"/>
              <w:bottom w:val="single" w:color="auto" w:sz="4" w:space="0"/>
              <w:right w:val="single" w:color="auto" w:sz="4" w:space="0"/>
            </w:tcBorders>
            <w:shd w:val="clear" w:color="auto" w:fill="auto"/>
            <w:vAlign w:val="center"/>
          </w:tcPr>
          <w:p>
            <w:pPr>
              <w:rPr>
                <w:rFonts w:ascii="等线" w:hAnsi="等线" w:eastAsia="等线" w:cs="宋体"/>
                <w:color w:val="000000"/>
                <w:szCs w:val="21"/>
              </w:rPr>
            </w:pPr>
            <w:r>
              <w:rPr>
                <w:rFonts w:hint="eastAsia" w:ascii="等线" w:hAnsi="等线" w:eastAsia="等线" w:cs="宋体"/>
                <w:color w:val="000000"/>
                <w:szCs w:val="21"/>
              </w:rPr>
              <w:t>维护接口名称、含义、用处等信息，与机构进行绑定，可与各机构接口进行对照表设置</w:t>
            </w:r>
            <w:r>
              <w:rPr>
                <w:rFonts w:ascii="等线" w:hAnsi="等线" w:eastAsia="等线" w:cs="宋体"/>
                <w:color w:val="000000"/>
                <w:szCs w:val="21"/>
              </w:rPr>
              <w:t>；</w:t>
            </w:r>
            <w:r>
              <w:rPr>
                <w:rFonts w:hint="eastAsia" w:ascii="等线" w:hAnsi="等线" w:eastAsia="等线" w:cs="宋体"/>
                <w:color w:val="000000"/>
                <w:szCs w:val="21"/>
              </w:rPr>
              <w:t>接口支持以下两种情况：</w:t>
            </w:r>
          </w:p>
          <w:p>
            <w:pPr>
              <w:pStyle w:val="23"/>
              <w:numPr>
                <w:ilvl w:val="0"/>
                <w:numId w:val="2"/>
              </w:numPr>
              <w:ind w:firstLineChars="0"/>
              <w:rPr>
                <w:rFonts w:ascii="等线" w:hAnsi="等线" w:eastAsia="等线" w:cs="宋体"/>
                <w:color w:val="000000"/>
                <w:szCs w:val="21"/>
              </w:rPr>
            </w:pPr>
            <w:r>
              <w:rPr>
                <w:rFonts w:hint="eastAsia" w:ascii="等线" w:hAnsi="等线" w:eastAsia="等线" w:cs="宋体"/>
                <w:color w:val="000000"/>
                <w:szCs w:val="21"/>
              </w:rPr>
              <w:t>使用数据接口，支持从医院系统定期抓取数据并传递数据源仓库；</w:t>
            </w:r>
          </w:p>
          <w:p>
            <w:pPr>
              <w:pStyle w:val="23"/>
              <w:numPr>
                <w:ilvl w:val="0"/>
                <w:numId w:val="2"/>
              </w:numPr>
              <w:ind w:firstLineChars="0"/>
              <w:rPr>
                <w:rFonts w:ascii="等线" w:hAnsi="等线" w:eastAsia="等线" w:cs="宋体"/>
                <w:color w:val="000000"/>
                <w:szCs w:val="21"/>
              </w:rPr>
            </w:pPr>
            <w:r>
              <w:rPr>
                <w:rFonts w:hint="eastAsia" w:ascii="等线" w:hAnsi="等线" w:eastAsia="等线" w:cs="宋体"/>
                <w:color w:val="000000"/>
                <w:szCs w:val="21"/>
              </w:rPr>
              <w:t>无数据接口，提供标准的导入数据的E</w:t>
            </w:r>
            <w:r>
              <w:rPr>
                <w:rFonts w:ascii="等线" w:hAnsi="等线" w:eastAsia="等线" w:cs="宋体"/>
                <w:color w:val="000000"/>
                <w:szCs w:val="21"/>
              </w:rPr>
              <w:t>xcel</w:t>
            </w:r>
            <w:r>
              <w:rPr>
                <w:rFonts w:hint="eastAsia" w:ascii="等线" w:hAnsi="等线" w:eastAsia="等线" w:cs="宋体"/>
                <w:color w:val="000000"/>
                <w:szCs w:val="21"/>
              </w:rPr>
              <w:t>模板，由参与医院按照模板补全数据后导入到数据源仓库。</w:t>
            </w:r>
          </w:p>
          <w:p>
            <w:pPr>
              <w:rPr>
                <w:rFonts w:ascii="等线" w:hAnsi="等线" w:eastAsia="等线" w:cs="宋体"/>
                <w:color w:val="000000"/>
                <w:szCs w:val="21"/>
              </w:rPr>
            </w:pPr>
            <w:r>
              <w:rPr>
                <w:rFonts w:hint="eastAsia" w:ascii="等线" w:hAnsi="等线" w:eastAsia="等线" w:cs="宋体"/>
                <w:color w:val="000000"/>
                <w:szCs w:val="21"/>
              </w:rPr>
              <w:t>对接数据的范围支持以下内容：</w:t>
            </w:r>
          </w:p>
          <w:p>
            <w:pPr>
              <w:pStyle w:val="23"/>
              <w:numPr>
                <w:ilvl w:val="0"/>
                <w:numId w:val="3"/>
              </w:numPr>
              <w:ind w:firstLineChars="0"/>
              <w:rPr>
                <w:rFonts w:ascii="等线" w:hAnsi="等线" w:eastAsia="等线" w:cs="宋体"/>
                <w:color w:val="000000"/>
                <w:szCs w:val="21"/>
              </w:rPr>
            </w:pPr>
            <w:r>
              <w:rPr>
                <w:rFonts w:hint="eastAsia" w:ascii="等线" w:hAnsi="等线" w:eastAsia="等线" w:cs="宋体"/>
                <w:color w:val="000000"/>
                <w:szCs w:val="21"/>
              </w:rPr>
              <w:t>研究所需，并且医院可提供的的结构化和非结构化数据，不限于CDR、HIS、LIS、PACS、EMR、生物样本库等院内业务系统，以及舌诊仪、脉诊仪、目诊仪等外接设备；</w:t>
            </w:r>
          </w:p>
        </w:tc>
      </w:tr>
    </w:tbl>
    <w:p/>
    <w:p>
      <w:r>
        <w:br w:type="page"/>
      </w:r>
    </w:p>
    <w:p>
      <w:pPr>
        <w:pStyle w:val="12"/>
        <w:numPr>
          <w:ilvl w:val="0"/>
          <w:numId w:val="1"/>
        </w:numPr>
      </w:pPr>
      <w:r>
        <w:rPr>
          <w:rFonts w:hint="eastAsia"/>
        </w:rPr>
        <w:t>实施方案说明</w:t>
      </w:r>
    </w:p>
    <w:p>
      <w:pPr>
        <w:spacing w:line="360" w:lineRule="auto"/>
        <w:ind w:firstLine="420" w:firstLineChars="200"/>
      </w:pPr>
      <w:r>
        <w:rPr>
          <w:rFonts w:hint="eastAsia"/>
        </w:rPr>
        <w:t>根据应用方式的不同，结合传统的集成平台建设思路，建议采用应用平台（登记研究平台、科研数据管理平台）和接口平台独立部署相结合的灵活方式。</w:t>
      </w:r>
    </w:p>
    <w:p>
      <w:pPr>
        <w:spacing w:line="360" w:lineRule="auto"/>
        <w:ind w:firstLine="420" w:firstLineChars="200"/>
      </w:pPr>
      <w:r>
        <w:rPr>
          <w:rFonts w:hint="eastAsia"/>
        </w:rPr>
        <w:t>实施方案满足院内系统对接和不对接均可满足数据采集应用的两种类型，不同的研究项目均可独立使用，多个项目数据也可合并分析。实施部署秉承项目可快速启动，也可以实现数据互通的对接方式。</w:t>
      </w:r>
    </w:p>
    <w:p>
      <w:pPr>
        <w:spacing w:line="360" w:lineRule="auto"/>
        <w:ind w:firstLine="420" w:firstLineChars="200"/>
      </w:pPr>
      <w:r>
        <w:rPr>
          <w:rFonts w:hint="eastAsia"/>
        </w:rPr>
        <w:t>请投标方按照要求自行拟定实施方案。</w:t>
      </w:r>
    </w:p>
    <w:p>
      <w:pPr>
        <w:pStyle w:val="12"/>
      </w:pPr>
      <w:r>
        <w:rPr>
          <w:rFonts w:hint="eastAsia"/>
        </w:rPr>
        <w:t>服务要求</w:t>
      </w:r>
    </w:p>
    <w:p>
      <w:pPr>
        <w:pStyle w:val="14"/>
      </w:pPr>
      <w:r>
        <w:rPr>
          <w:rFonts w:hint="eastAsia"/>
        </w:rPr>
        <w:t>实施服务</w:t>
      </w:r>
    </w:p>
    <w:p>
      <w:pPr>
        <w:pStyle w:val="23"/>
        <w:numPr>
          <w:ilvl w:val="1"/>
          <w:numId w:val="2"/>
        </w:numPr>
        <w:spacing w:line="360" w:lineRule="auto"/>
        <w:ind w:firstLineChars="0"/>
      </w:pPr>
      <w:r>
        <w:rPr>
          <w:rFonts w:hint="eastAsia"/>
        </w:rPr>
        <w:t>委派工程师到项目现场进行需求调研，收集我院需求进行平台基础数据准备，并根据我院实际情况给出本项目标的物所需环境及设备建议，形成双方确认的《实施计划》；</w:t>
      </w:r>
    </w:p>
    <w:p>
      <w:pPr>
        <w:pStyle w:val="23"/>
        <w:numPr>
          <w:ilvl w:val="1"/>
          <w:numId w:val="2"/>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在我院将系统平台完成部署安装后，协助院方进行运行环境的维护工作（包含但不限于硬件服务器及运行环境、网络环境等）并进行系统的上线前测试，上线后的项目应用测试等工作；</w:t>
      </w:r>
    </w:p>
    <w:p>
      <w:pPr>
        <w:pStyle w:val="23"/>
        <w:numPr>
          <w:ilvl w:val="1"/>
          <w:numId w:val="2"/>
        </w:numPr>
        <w:spacing w:line="360" w:lineRule="auto"/>
        <w:ind w:firstLineChars="0"/>
      </w:pPr>
      <w:r>
        <w:rPr>
          <w:rFonts w:hint="eastAsia"/>
        </w:rPr>
        <w:t>完成本院接口实现、调试，系统数据可联通；由供应商提供标准的导入数据的Excel模板，支持按照模板补全数据后导入到系统。</w:t>
      </w:r>
    </w:p>
    <w:p>
      <w:pPr>
        <w:pStyle w:val="23"/>
        <w:numPr>
          <w:ilvl w:val="1"/>
          <w:numId w:val="2"/>
        </w:numPr>
        <w:spacing w:line="360" w:lineRule="auto"/>
        <w:ind w:firstLineChars="0"/>
      </w:pPr>
      <w:r>
        <w:rPr>
          <w:rFonts w:hint="eastAsia"/>
        </w:rPr>
        <w:t>提供不少于5天的系统使用现场培训，并提供使用说明书及示例。</w:t>
      </w:r>
    </w:p>
    <w:p>
      <w:pPr>
        <w:pStyle w:val="23"/>
        <w:numPr>
          <w:ilvl w:val="1"/>
          <w:numId w:val="2"/>
        </w:numPr>
        <w:spacing w:line="360" w:lineRule="auto"/>
        <w:ind w:firstLineChars="0"/>
      </w:pPr>
      <w:r>
        <w:rPr>
          <w:rFonts w:hint="eastAsia"/>
        </w:rPr>
        <w:t>承诺系统平台的实施周期不超过6个月。</w:t>
      </w:r>
    </w:p>
    <w:p>
      <w:pPr>
        <w:pStyle w:val="14"/>
      </w:pPr>
      <w:r>
        <w:rPr>
          <w:rFonts w:hint="eastAsia"/>
        </w:rPr>
        <w:t>售后服务</w:t>
      </w:r>
    </w:p>
    <w:p>
      <w:pPr>
        <w:pStyle w:val="23"/>
        <w:numPr>
          <w:ilvl w:val="0"/>
          <w:numId w:val="4"/>
        </w:numPr>
        <w:spacing w:line="360" w:lineRule="auto"/>
        <w:ind w:firstLineChars="0"/>
      </w:pPr>
      <w:r>
        <w:rPr>
          <w:rFonts w:hint="eastAsia"/>
        </w:rPr>
        <w:t>内外网数据同步服务：由中标供应商委派工程师为我院提供内外网数据同步服务；</w:t>
      </w:r>
    </w:p>
    <w:p>
      <w:pPr>
        <w:pStyle w:val="23"/>
        <w:numPr>
          <w:ilvl w:val="0"/>
          <w:numId w:val="4"/>
        </w:numPr>
        <w:spacing w:line="360" w:lineRule="auto"/>
        <w:ind w:firstLineChars="0"/>
      </w:pPr>
      <w:r>
        <w:rPr>
          <w:rFonts w:hint="eastAsia"/>
        </w:rPr>
        <w:t>提供项目使用培训的现场支持工作，每个项目至少1天，每年项目数不超过1</w:t>
      </w:r>
      <w:r>
        <w:t>2</w:t>
      </w:r>
      <w:r>
        <w:rPr>
          <w:rFonts w:hint="eastAsia"/>
        </w:rPr>
        <w:t>个；</w:t>
      </w:r>
      <w:r>
        <w:t xml:space="preserve"> </w:t>
      </w:r>
    </w:p>
    <w:p>
      <w:pPr>
        <w:pStyle w:val="23"/>
        <w:numPr>
          <w:ilvl w:val="0"/>
          <w:numId w:val="4"/>
        </w:numPr>
        <w:spacing w:line="360" w:lineRule="auto"/>
        <w:ind w:firstLineChars="0"/>
      </w:pPr>
      <w:r>
        <w:rPr>
          <w:rFonts w:hint="eastAsia"/>
        </w:rPr>
        <w:t>采集表电子化制作：为我院提供人员的使用培训和使用考核，在我院人员不能独立完成时，维护期内提供12次以内的采集表制作培训和答疑服务，由我院提出申请，双方约定时间完成，接收申请后原则上不超过10个工作日。</w:t>
      </w:r>
    </w:p>
    <w:p>
      <w:pPr>
        <w:pStyle w:val="23"/>
        <w:numPr>
          <w:ilvl w:val="0"/>
          <w:numId w:val="4"/>
        </w:numPr>
        <w:spacing w:line="360" w:lineRule="auto"/>
        <w:ind w:firstLineChars="0"/>
      </w:pPr>
      <w:r>
        <w:rPr>
          <w:rFonts w:hint="eastAsia"/>
        </w:rPr>
        <w:t>平台维护服务：针对我院使用过程中出现的软件系统故障、瑕疵等以及非我院所导致的产品质量问题，负责为我院免费修正软件产品所存在的瑕疵错误及损坏，修正后的错误向我院做详细操作说明。对于影响我院正常业务运行的系统故障，按照故障级别在相应的响应时间内解决。</w:t>
      </w:r>
    </w:p>
    <w:p>
      <w:pPr>
        <w:pStyle w:val="23"/>
        <w:numPr>
          <w:ilvl w:val="0"/>
          <w:numId w:val="4"/>
        </w:numPr>
        <w:spacing w:line="360" w:lineRule="auto"/>
        <w:ind w:firstLineChars="0"/>
      </w:pPr>
      <w:r>
        <w:rPr>
          <w:rFonts w:hint="eastAsia"/>
        </w:rPr>
        <w:t>系统平台验收后提供不低于1</w:t>
      </w:r>
      <w:r>
        <w:t>2</w:t>
      </w:r>
      <w:r>
        <w:rPr>
          <w:rFonts w:hint="eastAsia"/>
        </w:rPr>
        <w:t>个月的免费维护期。</w:t>
      </w:r>
    </w:p>
    <w:p>
      <w:pPr>
        <w:pStyle w:val="12"/>
      </w:pPr>
      <w:r>
        <w:rPr>
          <w:rFonts w:hint="eastAsia"/>
        </w:rPr>
        <w:t>评分标准</w:t>
      </w:r>
    </w:p>
    <w:tbl>
      <w:tblPr>
        <w:tblStyle w:val="8"/>
        <w:tblW w:w="9286" w:type="dxa"/>
        <w:jc w:val="center"/>
        <w:tblLayout w:type="fixed"/>
        <w:tblCellMar>
          <w:top w:w="0" w:type="dxa"/>
          <w:left w:w="108" w:type="dxa"/>
          <w:bottom w:w="0" w:type="dxa"/>
          <w:right w:w="108" w:type="dxa"/>
        </w:tblCellMar>
      </w:tblPr>
      <w:tblGrid>
        <w:gridCol w:w="743"/>
        <w:gridCol w:w="2508"/>
        <w:gridCol w:w="6035"/>
      </w:tblGrid>
      <w:tr>
        <w:tblPrEx>
          <w:tblCellMar>
            <w:top w:w="0" w:type="dxa"/>
            <w:left w:w="108" w:type="dxa"/>
            <w:bottom w:w="0" w:type="dxa"/>
            <w:right w:w="108" w:type="dxa"/>
          </w:tblCellMar>
        </w:tblPrEx>
        <w:trPr>
          <w:trHeight w:val="568" w:hRule="atLeast"/>
          <w:jc w:val="center"/>
        </w:trPr>
        <w:tc>
          <w:tcPr>
            <w:tcW w:w="928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一、履约能力部分(25分)</w:t>
            </w:r>
          </w:p>
        </w:tc>
      </w:tr>
      <w:tr>
        <w:tblPrEx>
          <w:tblCellMar>
            <w:top w:w="0" w:type="dxa"/>
            <w:left w:w="108" w:type="dxa"/>
            <w:bottom w:w="0" w:type="dxa"/>
            <w:right w:w="108" w:type="dxa"/>
          </w:tblCellMar>
        </w:tblPrEx>
        <w:trPr>
          <w:trHeight w:val="1271" w:hRule="atLeast"/>
          <w:jc w:val="center"/>
        </w:trPr>
        <w:tc>
          <w:tcPr>
            <w:tcW w:w="743" w:type="dxa"/>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Cs/>
                <w:color w:val="000000"/>
                <w:sz w:val="22"/>
                <w:szCs w:val="22"/>
              </w:rPr>
            </w:pPr>
            <w:r>
              <w:rPr>
                <w:rFonts w:hint="eastAsia" w:ascii="宋体" w:hAnsi="宋体" w:cs="宋体"/>
                <w:bCs/>
                <w:color w:val="000000"/>
                <w:sz w:val="22"/>
                <w:szCs w:val="22"/>
              </w:rPr>
              <w:t>1.1</w:t>
            </w:r>
          </w:p>
        </w:tc>
        <w:tc>
          <w:tcPr>
            <w:tcW w:w="2508" w:type="dxa"/>
            <w:tcBorders>
              <w:top w:val="single" w:color="auto" w:sz="8" w:space="0"/>
              <w:left w:val="nil"/>
              <w:bottom w:val="single" w:color="auto" w:sz="8" w:space="0"/>
              <w:right w:val="single" w:color="auto" w:sz="8" w:space="0"/>
            </w:tcBorders>
            <w:vAlign w:val="center"/>
          </w:tcPr>
          <w:p>
            <w:pPr>
              <w:jc w:val="center"/>
              <w:rPr>
                <w:rFonts w:ascii="宋体" w:hAnsi="宋体" w:cs="宋体"/>
                <w:bCs/>
                <w:color w:val="000000"/>
                <w:sz w:val="22"/>
                <w:szCs w:val="22"/>
              </w:rPr>
            </w:pPr>
            <w:r>
              <w:rPr>
                <w:rFonts w:hint="eastAsia" w:ascii="宋体" w:hAnsi="宋体" w:cs="宋体"/>
                <w:bCs/>
                <w:color w:val="000000"/>
                <w:sz w:val="22"/>
                <w:szCs w:val="22"/>
              </w:rPr>
              <w:t>公司资质</w:t>
            </w:r>
          </w:p>
          <w:p>
            <w:pPr>
              <w:jc w:val="center"/>
              <w:rPr>
                <w:rFonts w:ascii="宋体" w:hAnsi="宋体" w:cs="宋体"/>
                <w:bCs/>
                <w:color w:val="000000"/>
                <w:sz w:val="22"/>
                <w:szCs w:val="22"/>
              </w:rPr>
            </w:pPr>
            <w:r>
              <w:rPr>
                <w:rFonts w:hint="eastAsia" w:ascii="宋体" w:hAnsi="宋体" w:cs="宋体"/>
                <w:bCs/>
                <w:color w:val="000000"/>
                <w:sz w:val="22"/>
                <w:szCs w:val="22"/>
              </w:rPr>
              <w:t>（10分）</w:t>
            </w: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color w:val="000000"/>
                <w:sz w:val="22"/>
                <w:szCs w:val="22"/>
              </w:rPr>
            </w:pPr>
            <w:r>
              <w:rPr>
                <w:rFonts w:hint="eastAsia" w:ascii="宋体" w:hAnsi="宋体" w:cs="宋体"/>
                <w:bCs/>
                <w:color w:val="000000"/>
                <w:sz w:val="22"/>
                <w:szCs w:val="22"/>
              </w:rPr>
              <w:t>医疗临床与科研应用类软件著作权，每1个得2分，最高10分；</w:t>
            </w:r>
          </w:p>
          <w:p>
            <w:pPr>
              <w:rPr>
                <w:rFonts w:ascii="宋体" w:hAnsi="宋体" w:cs="宋体"/>
                <w:bCs/>
                <w:color w:val="000000"/>
                <w:sz w:val="22"/>
                <w:szCs w:val="22"/>
              </w:rPr>
            </w:pPr>
            <w:r>
              <w:rPr>
                <w:rFonts w:hint="eastAsia" w:ascii="宋体" w:hAnsi="宋体" w:cs="宋体"/>
                <w:bCs/>
                <w:color w:val="000000"/>
                <w:sz w:val="22"/>
                <w:szCs w:val="22"/>
              </w:rPr>
              <w:t>需提供软件著作权证书复印件，否则不予计分。</w:t>
            </w:r>
          </w:p>
        </w:tc>
      </w:tr>
      <w:tr>
        <w:tblPrEx>
          <w:tblCellMar>
            <w:top w:w="0" w:type="dxa"/>
            <w:left w:w="108" w:type="dxa"/>
            <w:bottom w:w="0" w:type="dxa"/>
            <w:right w:w="108" w:type="dxa"/>
          </w:tblCellMar>
        </w:tblPrEx>
        <w:trPr>
          <w:trHeight w:val="1138" w:hRule="atLeast"/>
          <w:jc w:val="center"/>
        </w:trPr>
        <w:tc>
          <w:tcPr>
            <w:tcW w:w="743" w:type="dxa"/>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Cs/>
                <w:color w:val="000000"/>
                <w:sz w:val="22"/>
                <w:szCs w:val="22"/>
              </w:rPr>
            </w:pPr>
            <w:r>
              <w:rPr>
                <w:rFonts w:ascii="宋体" w:hAnsi="宋体" w:cs="宋体"/>
                <w:bCs/>
                <w:color w:val="000000"/>
                <w:sz w:val="22"/>
                <w:szCs w:val="22"/>
              </w:rPr>
              <w:t>1</w:t>
            </w:r>
            <w:r>
              <w:rPr>
                <w:rFonts w:hint="eastAsia" w:ascii="宋体" w:hAnsi="宋体" w:cs="宋体"/>
                <w:bCs/>
                <w:color w:val="000000"/>
                <w:sz w:val="22"/>
                <w:szCs w:val="22"/>
              </w:rPr>
              <w:t>.2</w:t>
            </w:r>
          </w:p>
        </w:tc>
        <w:tc>
          <w:tcPr>
            <w:tcW w:w="2508" w:type="dxa"/>
            <w:tcBorders>
              <w:top w:val="single" w:color="auto" w:sz="8" w:space="0"/>
              <w:left w:val="nil"/>
              <w:bottom w:val="single" w:color="auto" w:sz="8" w:space="0"/>
              <w:right w:val="single" w:color="auto" w:sz="8" w:space="0"/>
            </w:tcBorders>
            <w:vAlign w:val="center"/>
          </w:tcPr>
          <w:p>
            <w:pPr>
              <w:jc w:val="center"/>
              <w:rPr>
                <w:rFonts w:ascii="宋体" w:hAnsi="宋体" w:cs="宋体"/>
                <w:bCs/>
                <w:color w:val="000000"/>
                <w:sz w:val="22"/>
                <w:szCs w:val="22"/>
              </w:rPr>
            </w:pPr>
            <w:r>
              <w:rPr>
                <w:rFonts w:hint="eastAsia" w:ascii="宋体" w:hAnsi="宋体" w:cs="宋体"/>
                <w:bCs/>
                <w:color w:val="000000"/>
                <w:sz w:val="22"/>
                <w:szCs w:val="22"/>
              </w:rPr>
              <w:t>技术服务案例</w:t>
            </w:r>
          </w:p>
          <w:p>
            <w:pPr>
              <w:jc w:val="center"/>
              <w:rPr>
                <w:rFonts w:ascii="宋体" w:hAnsi="宋体" w:cs="宋体"/>
                <w:bCs/>
                <w:color w:val="000000"/>
                <w:sz w:val="22"/>
                <w:szCs w:val="22"/>
              </w:rPr>
            </w:pPr>
            <w:r>
              <w:rPr>
                <w:rFonts w:hint="eastAsia" w:ascii="宋体" w:hAnsi="宋体" w:cs="宋体"/>
                <w:bCs/>
                <w:color w:val="000000"/>
                <w:sz w:val="22"/>
                <w:szCs w:val="22"/>
              </w:rPr>
              <w:t>（</w:t>
            </w:r>
            <w:r>
              <w:rPr>
                <w:rFonts w:ascii="宋体" w:hAnsi="宋体" w:cs="宋体"/>
                <w:bCs/>
                <w:color w:val="000000"/>
                <w:sz w:val="22"/>
                <w:szCs w:val="22"/>
              </w:rPr>
              <w:t>10</w:t>
            </w:r>
            <w:r>
              <w:rPr>
                <w:rFonts w:hint="eastAsia" w:ascii="宋体" w:hAnsi="宋体" w:cs="宋体"/>
                <w:bCs/>
                <w:color w:val="000000"/>
                <w:sz w:val="22"/>
                <w:szCs w:val="22"/>
              </w:rPr>
              <w:t>分）</w:t>
            </w: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sz w:val="22"/>
                <w:szCs w:val="22"/>
              </w:rPr>
            </w:pPr>
            <w:r>
              <w:rPr>
                <w:rFonts w:hint="eastAsia" w:ascii="宋体" w:hAnsi="宋体" w:cs="宋体"/>
                <w:bCs/>
                <w:sz w:val="22"/>
                <w:szCs w:val="22"/>
              </w:rPr>
              <w:t>三级医院信息技术服务案例，每1家得</w:t>
            </w:r>
            <w:r>
              <w:rPr>
                <w:rFonts w:ascii="宋体" w:hAnsi="宋体" w:cs="宋体"/>
                <w:bCs/>
                <w:sz w:val="22"/>
                <w:szCs w:val="22"/>
              </w:rPr>
              <w:t>3</w:t>
            </w:r>
            <w:r>
              <w:rPr>
                <w:rFonts w:hint="eastAsia" w:ascii="宋体" w:hAnsi="宋体" w:cs="宋体"/>
                <w:bCs/>
                <w:sz w:val="22"/>
                <w:szCs w:val="22"/>
              </w:rPr>
              <w:t>分；</w:t>
            </w:r>
          </w:p>
          <w:p>
            <w:pPr>
              <w:rPr>
                <w:rFonts w:ascii="宋体" w:hAnsi="宋体" w:cs="宋体"/>
                <w:bCs/>
                <w:sz w:val="22"/>
                <w:szCs w:val="22"/>
              </w:rPr>
            </w:pPr>
            <w:r>
              <w:rPr>
                <w:rFonts w:hint="eastAsia" w:ascii="宋体" w:hAnsi="宋体" w:cs="宋体"/>
                <w:bCs/>
                <w:sz w:val="22"/>
                <w:szCs w:val="22"/>
              </w:rPr>
              <w:t>二级医院及二级以下医院信息技术服务案例，每1家得2分；</w:t>
            </w:r>
          </w:p>
          <w:p>
            <w:pPr>
              <w:rPr>
                <w:rFonts w:ascii="宋体" w:hAnsi="宋体" w:cs="宋体"/>
                <w:bCs/>
                <w:sz w:val="22"/>
                <w:szCs w:val="22"/>
              </w:rPr>
            </w:pPr>
            <w:r>
              <w:rPr>
                <w:rFonts w:hint="eastAsia" w:ascii="宋体" w:hAnsi="宋体" w:cs="宋体"/>
                <w:bCs/>
                <w:sz w:val="22"/>
                <w:szCs w:val="22"/>
              </w:rPr>
              <w:t>需提供合同首页及盖章页复印件及案例中所列医院的级别证明材料，否则不予计分。</w:t>
            </w:r>
          </w:p>
        </w:tc>
      </w:tr>
      <w:tr>
        <w:tblPrEx>
          <w:tblCellMar>
            <w:top w:w="0" w:type="dxa"/>
            <w:left w:w="108" w:type="dxa"/>
            <w:bottom w:w="0" w:type="dxa"/>
            <w:right w:w="108" w:type="dxa"/>
          </w:tblCellMar>
        </w:tblPrEx>
        <w:trPr>
          <w:trHeight w:val="1222" w:hRule="atLeast"/>
          <w:jc w:val="center"/>
        </w:trPr>
        <w:tc>
          <w:tcPr>
            <w:tcW w:w="743" w:type="dxa"/>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Cs/>
                <w:color w:val="000000"/>
                <w:sz w:val="22"/>
                <w:szCs w:val="22"/>
              </w:rPr>
            </w:pPr>
            <w:r>
              <w:rPr>
                <w:rFonts w:ascii="宋体" w:hAnsi="宋体" w:cs="宋体"/>
                <w:bCs/>
                <w:color w:val="000000"/>
                <w:sz w:val="22"/>
                <w:szCs w:val="22"/>
              </w:rPr>
              <w:t>1</w:t>
            </w:r>
            <w:r>
              <w:rPr>
                <w:rFonts w:hint="eastAsia" w:ascii="宋体" w:hAnsi="宋体" w:cs="宋体"/>
                <w:bCs/>
                <w:color w:val="000000"/>
                <w:sz w:val="22"/>
                <w:szCs w:val="22"/>
              </w:rPr>
              <w:t>.3</w:t>
            </w:r>
          </w:p>
        </w:tc>
        <w:tc>
          <w:tcPr>
            <w:tcW w:w="250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sz w:val="22"/>
                <w:szCs w:val="22"/>
              </w:rPr>
            </w:pPr>
            <w:r>
              <w:rPr>
                <w:rFonts w:hint="eastAsia" w:ascii="宋体" w:hAnsi="宋体" w:cs="宋体"/>
                <w:bCs/>
                <w:color w:val="000000"/>
                <w:sz w:val="22"/>
                <w:szCs w:val="22"/>
              </w:rPr>
              <w:t>科研项目经验</w:t>
            </w:r>
          </w:p>
          <w:p>
            <w:pPr>
              <w:jc w:val="center"/>
              <w:rPr>
                <w:rFonts w:ascii="宋体" w:hAnsi="宋体" w:cs="宋体"/>
                <w:bCs/>
                <w:color w:val="000000"/>
                <w:sz w:val="22"/>
                <w:szCs w:val="22"/>
              </w:rPr>
            </w:pPr>
            <w:r>
              <w:rPr>
                <w:rFonts w:hint="eastAsia" w:ascii="宋体" w:hAnsi="宋体" w:cs="宋体"/>
                <w:bCs/>
                <w:color w:val="000000"/>
                <w:sz w:val="22"/>
                <w:szCs w:val="22"/>
              </w:rPr>
              <w:t>（</w:t>
            </w:r>
            <w:r>
              <w:rPr>
                <w:rFonts w:ascii="宋体" w:hAnsi="宋体" w:cs="宋体"/>
                <w:bCs/>
                <w:color w:val="000000"/>
                <w:sz w:val="22"/>
                <w:szCs w:val="22"/>
              </w:rPr>
              <w:t>5</w:t>
            </w:r>
            <w:r>
              <w:rPr>
                <w:rFonts w:hint="eastAsia" w:ascii="宋体" w:hAnsi="宋体" w:cs="宋体"/>
                <w:bCs/>
                <w:color w:val="000000"/>
                <w:sz w:val="22"/>
                <w:szCs w:val="22"/>
              </w:rPr>
              <w:t>分）</w:t>
            </w: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sz w:val="22"/>
                <w:szCs w:val="22"/>
              </w:rPr>
            </w:pPr>
            <w:r>
              <w:rPr>
                <w:rFonts w:hint="eastAsia" w:ascii="宋体" w:hAnsi="宋体" w:cs="宋体"/>
                <w:bCs/>
                <w:sz w:val="22"/>
                <w:szCs w:val="22"/>
              </w:rPr>
              <w:t>1.3.1 国家级科研项目经验（3分）</w:t>
            </w:r>
          </w:p>
          <w:p>
            <w:pPr>
              <w:rPr>
                <w:rFonts w:ascii="宋体" w:hAnsi="宋体" w:cs="宋体"/>
                <w:bCs/>
                <w:sz w:val="22"/>
                <w:szCs w:val="22"/>
              </w:rPr>
            </w:pPr>
            <w:r>
              <w:rPr>
                <w:rFonts w:hint="eastAsia" w:ascii="宋体" w:hAnsi="宋体" w:cs="宋体"/>
                <w:bCs/>
                <w:sz w:val="22"/>
                <w:szCs w:val="22"/>
              </w:rPr>
              <w:t>承担过国家级科研项目，得</w:t>
            </w:r>
            <w:r>
              <w:rPr>
                <w:rFonts w:ascii="宋体" w:hAnsi="宋体" w:cs="宋体"/>
                <w:bCs/>
                <w:sz w:val="22"/>
                <w:szCs w:val="22"/>
              </w:rPr>
              <w:t>3</w:t>
            </w:r>
            <w:r>
              <w:rPr>
                <w:rFonts w:hint="eastAsia" w:ascii="宋体" w:hAnsi="宋体" w:cs="宋体"/>
                <w:bCs/>
                <w:sz w:val="22"/>
                <w:szCs w:val="22"/>
              </w:rPr>
              <w:t>分；参与国家级科研项目，每1个项目得1分；</w:t>
            </w:r>
          </w:p>
          <w:p>
            <w:pPr>
              <w:rPr>
                <w:rFonts w:ascii="宋体" w:hAnsi="宋体" w:cs="宋体"/>
                <w:bCs/>
                <w:sz w:val="22"/>
                <w:szCs w:val="22"/>
              </w:rPr>
            </w:pPr>
            <w:r>
              <w:rPr>
                <w:rFonts w:hint="eastAsia" w:ascii="宋体" w:hAnsi="宋体" w:cs="宋体"/>
                <w:bCs/>
                <w:sz w:val="22"/>
                <w:szCs w:val="22"/>
              </w:rPr>
              <w:t>1.3.2市级或区级科研项目经验（2分）</w:t>
            </w:r>
          </w:p>
          <w:p>
            <w:pPr>
              <w:rPr>
                <w:rFonts w:ascii="宋体" w:hAnsi="宋体" w:cs="宋体"/>
                <w:bCs/>
                <w:sz w:val="22"/>
                <w:szCs w:val="22"/>
              </w:rPr>
            </w:pPr>
            <w:r>
              <w:rPr>
                <w:rFonts w:hint="eastAsia" w:ascii="宋体" w:hAnsi="宋体" w:cs="宋体"/>
                <w:bCs/>
                <w:sz w:val="22"/>
                <w:szCs w:val="22"/>
              </w:rPr>
              <w:t>承担过市级或区级科研项目，得</w:t>
            </w:r>
            <w:r>
              <w:rPr>
                <w:rFonts w:ascii="宋体" w:hAnsi="宋体" w:cs="宋体"/>
                <w:bCs/>
                <w:sz w:val="22"/>
                <w:szCs w:val="22"/>
              </w:rPr>
              <w:t>2</w:t>
            </w:r>
            <w:r>
              <w:rPr>
                <w:rFonts w:hint="eastAsia" w:ascii="宋体" w:hAnsi="宋体" w:cs="宋体"/>
                <w:bCs/>
                <w:sz w:val="22"/>
                <w:szCs w:val="22"/>
              </w:rPr>
              <w:t>分；参与市级或区级科研项目，每1个项目得1分；</w:t>
            </w:r>
          </w:p>
          <w:p>
            <w:pPr>
              <w:rPr>
                <w:rFonts w:ascii="宋体" w:hAnsi="宋体" w:cs="宋体"/>
                <w:bCs/>
                <w:sz w:val="22"/>
                <w:szCs w:val="22"/>
              </w:rPr>
            </w:pPr>
            <w:r>
              <w:rPr>
                <w:rFonts w:hint="eastAsia" w:ascii="宋体" w:hAnsi="宋体" w:cs="宋体"/>
                <w:bCs/>
                <w:sz w:val="22"/>
                <w:szCs w:val="22"/>
              </w:rPr>
              <w:t>技术创新或技术攻关类项目均可，不限定行业；</w:t>
            </w:r>
          </w:p>
          <w:p>
            <w:pPr>
              <w:rPr>
                <w:rFonts w:ascii="宋体" w:hAnsi="宋体" w:cs="宋体"/>
                <w:bCs/>
                <w:sz w:val="22"/>
                <w:szCs w:val="22"/>
              </w:rPr>
            </w:pPr>
            <w:r>
              <w:rPr>
                <w:rFonts w:hint="eastAsia" w:ascii="宋体" w:hAnsi="宋体" w:cs="宋体"/>
                <w:bCs/>
                <w:sz w:val="22"/>
                <w:szCs w:val="22"/>
              </w:rPr>
              <w:t>需提供承担或参与上述科研项目的证明材料，否则不予计分。</w:t>
            </w:r>
          </w:p>
        </w:tc>
      </w:tr>
      <w:tr>
        <w:tblPrEx>
          <w:tblCellMar>
            <w:top w:w="0" w:type="dxa"/>
            <w:left w:w="108" w:type="dxa"/>
            <w:bottom w:w="0" w:type="dxa"/>
            <w:right w:w="108" w:type="dxa"/>
          </w:tblCellMar>
        </w:tblPrEx>
        <w:trPr>
          <w:trHeight w:val="540" w:hRule="atLeast"/>
          <w:jc w:val="center"/>
        </w:trPr>
        <w:tc>
          <w:tcPr>
            <w:tcW w:w="928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二、技术部分(</w:t>
            </w:r>
            <w:r>
              <w:rPr>
                <w:rFonts w:ascii="宋体" w:hAnsi="宋体" w:cs="宋体"/>
                <w:b/>
                <w:bCs/>
                <w:color w:val="000000"/>
                <w:sz w:val="22"/>
                <w:szCs w:val="22"/>
              </w:rPr>
              <w:t>25</w:t>
            </w:r>
            <w:r>
              <w:rPr>
                <w:rFonts w:hint="eastAsia" w:ascii="宋体" w:hAnsi="宋体" w:cs="宋体"/>
                <w:b/>
                <w:bCs/>
                <w:color w:val="000000"/>
                <w:sz w:val="22"/>
                <w:szCs w:val="22"/>
              </w:rPr>
              <w:t>分)</w:t>
            </w:r>
          </w:p>
        </w:tc>
      </w:tr>
      <w:tr>
        <w:tblPrEx>
          <w:tblCellMar>
            <w:top w:w="0" w:type="dxa"/>
            <w:left w:w="108" w:type="dxa"/>
            <w:bottom w:w="0" w:type="dxa"/>
            <w:right w:w="108" w:type="dxa"/>
          </w:tblCellMar>
        </w:tblPrEx>
        <w:trPr>
          <w:trHeight w:val="1016" w:hRule="atLeast"/>
          <w:jc w:val="center"/>
        </w:trPr>
        <w:tc>
          <w:tcPr>
            <w:tcW w:w="7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sz w:val="22"/>
                <w:szCs w:val="22"/>
              </w:rPr>
            </w:pPr>
            <w:r>
              <w:rPr>
                <w:rFonts w:hint="eastAsia" w:ascii="宋体" w:hAnsi="宋体" w:cs="宋体"/>
                <w:bCs/>
                <w:sz w:val="22"/>
                <w:szCs w:val="22"/>
              </w:rPr>
              <w:t>2.1</w:t>
            </w:r>
          </w:p>
        </w:tc>
        <w:tc>
          <w:tcPr>
            <w:tcW w:w="2508" w:type="dxa"/>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Cs/>
                <w:sz w:val="22"/>
                <w:szCs w:val="22"/>
              </w:rPr>
            </w:pPr>
            <w:r>
              <w:rPr>
                <w:rFonts w:hint="eastAsia" w:ascii="宋体" w:hAnsi="宋体" w:cs="宋体"/>
                <w:bCs/>
                <w:sz w:val="22"/>
                <w:szCs w:val="22"/>
              </w:rPr>
              <w:t>功能符合性（1</w:t>
            </w:r>
            <w:r>
              <w:rPr>
                <w:rFonts w:ascii="宋体" w:hAnsi="宋体" w:cs="宋体"/>
                <w:bCs/>
                <w:sz w:val="22"/>
                <w:szCs w:val="22"/>
              </w:rPr>
              <w:t>5</w:t>
            </w:r>
            <w:r>
              <w:rPr>
                <w:rFonts w:hint="eastAsia" w:ascii="宋体" w:hAnsi="宋体" w:cs="宋体"/>
                <w:bCs/>
                <w:sz w:val="22"/>
                <w:szCs w:val="22"/>
              </w:rPr>
              <w:t>分）</w:t>
            </w: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color w:val="000000"/>
                <w:sz w:val="22"/>
                <w:szCs w:val="22"/>
              </w:rPr>
            </w:pPr>
            <w:r>
              <w:rPr>
                <w:rFonts w:hint="eastAsia" w:ascii="宋体" w:hAnsi="宋体" w:cs="宋体"/>
                <w:bCs/>
                <w:color w:val="000000"/>
                <w:sz w:val="22"/>
                <w:szCs w:val="22"/>
              </w:rPr>
              <w:t>功能要求满足功能列表中的两个主要功能</w:t>
            </w:r>
          </w:p>
          <w:p>
            <w:pPr>
              <w:rPr>
                <w:rFonts w:ascii="宋体" w:hAnsi="宋体" w:cs="宋体"/>
                <w:bCs/>
                <w:color w:val="000000"/>
                <w:sz w:val="22"/>
                <w:szCs w:val="22"/>
              </w:rPr>
            </w:pPr>
            <w:r>
              <w:rPr>
                <w:rFonts w:ascii="宋体" w:hAnsi="宋体" w:cs="宋体"/>
                <w:bCs/>
                <w:color w:val="000000"/>
                <w:sz w:val="22"/>
                <w:szCs w:val="22"/>
              </w:rPr>
              <w:t>2.1.1</w:t>
            </w:r>
            <w:r>
              <w:rPr>
                <w:rFonts w:hint="eastAsia" w:ascii="宋体" w:hAnsi="宋体" w:cs="宋体"/>
                <w:bCs/>
                <w:color w:val="000000"/>
                <w:sz w:val="22"/>
                <w:szCs w:val="22"/>
              </w:rPr>
              <w:t>满足真实世界研究项目所需功能列表得1</w:t>
            </w:r>
            <w:r>
              <w:rPr>
                <w:rFonts w:ascii="宋体" w:hAnsi="宋体" w:cs="宋体"/>
                <w:bCs/>
                <w:color w:val="000000"/>
                <w:sz w:val="22"/>
                <w:szCs w:val="22"/>
              </w:rPr>
              <w:t>0</w:t>
            </w:r>
            <w:r>
              <w:rPr>
                <w:rFonts w:hint="eastAsia" w:ascii="宋体" w:hAnsi="宋体" w:cs="宋体"/>
                <w:bCs/>
                <w:color w:val="000000"/>
                <w:sz w:val="22"/>
                <w:szCs w:val="22"/>
              </w:rPr>
              <w:t>分；</w:t>
            </w:r>
          </w:p>
          <w:p>
            <w:pPr>
              <w:rPr>
                <w:rFonts w:ascii="宋体" w:hAnsi="宋体" w:cs="宋体"/>
                <w:bCs/>
                <w:color w:val="000000"/>
                <w:sz w:val="22"/>
                <w:szCs w:val="22"/>
              </w:rPr>
            </w:pPr>
            <w:r>
              <w:rPr>
                <w:rFonts w:ascii="宋体" w:hAnsi="宋体" w:cs="宋体"/>
                <w:bCs/>
                <w:color w:val="000000"/>
                <w:sz w:val="22"/>
                <w:szCs w:val="22"/>
              </w:rPr>
              <w:t>2.1.2</w:t>
            </w:r>
            <w:r>
              <w:rPr>
                <w:rFonts w:hint="eastAsia" w:ascii="宋体" w:hAnsi="宋体" w:cs="宋体"/>
                <w:bCs/>
                <w:color w:val="000000"/>
                <w:sz w:val="22"/>
                <w:szCs w:val="22"/>
              </w:rPr>
              <w:t>满足术语标准化功能列表得5分；</w:t>
            </w:r>
          </w:p>
        </w:tc>
      </w:tr>
      <w:tr>
        <w:tblPrEx>
          <w:tblCellMar>
            <w:top w:w="0" w:type="dxa"/>
            <w:left w:w="108" w:type="dxa"/>
            <w:bottom w:w="0" w:type="dxa"/>
            <w:right w:w="108" w:type="dxa"/>
          </w:tblCellMar>
        </w:tblPrEx>
        <w:trPr>
          <w:trHeight w:val="1114" w:hRule="atLeast"/>
          <w:jc w:val="center"/>
        </w:trPr>
        <w:tc>
          <w:tcPr>
            <w:tcW w:w="7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sz w:val="22"/>
                <w:szCs w:val="22"/>
              </w:rPr>
            </w:pPr>
            <w:r>
              <w:rPr>
                <w:rFonts w:hint="eastAsia" w:ascii="宋体" w:hAnsi="宋体" w:cs="宋体"/>
                <w:bCs/>
                <w:color w:val="000000"/>
                <w:sz w:val="22"/>
                <w:szCs w:val="22"/>
              </w:rPr>
              <w:t>2.2</w:t>
            </w:r>
          </w:p>
        </w:tc>
        <w:tc>
          <w:tcPr>
            <w:tcW w:w="2508" w:type="dxa"/>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Cs/>
                <w:sz w:val="22"/>
                <w:szCs w:val="22"/>
              </w:rPr>
            </w:pPr>
            <w:r>
              <w:rPr>
                <w:rFonts w:hint="eastAsia" w:ascii="宋体" w:hAnsi="宋体" w:cs="宋体"/>
                <w:bCs/>
                <w:sz w:val="22"/>
                <w:szCs w:val="22"/>
              </w:rPr>
              <w:t>技术方案（</w:t>
            </w:r>
            <w:r>
              <w:rPr>
                <w:rFonts w:ascii="宋体" w:hAnsi="宋体" w:cs="宋体"/>
                <w:bCs/>
                <w:sz w:val="22"/>
                <w:szCs w:val="22"/>
              </w:rPr>
              <w:t>6</w:t>
            </w:r>
            <w:r>
              <w:rPr>
                <w:rFonts w:hint="eastAsia" w:ascii="宋体" w:hAnsi="宋体" w:cs="宋体"/>
                <w:bCs/>
                <w:sz w:val="22"/>
                <w:szCs w:val="22"/>
              </w:rPr>
              <w:t>分）</w:t>
            </w: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sz w:val="22"/>
                <w:szCs w:val="22"/>
              </w:rPr>
            </w:pPr>
            <w:r>
              <w:rPr>
                <w:rFonts w:hint="eastAsia" w:ascii="宋体" w:hAnsi="宋体" w:cs="宋体"/>
                <w:bCs/>
                <w:sz w:val="22"/>
                <w:szCs w:val="22"/>
              </w:rPr>
              <w:t>2.2.1系统架构（5分）</w:t>
            </w:r>
          </w:p>
          <w:p>
            <w:pPr>
              <w:rPr>
                <w:rFonts w:ascii="宋体" w:hAnsi="宋体" w:cs="宋体"/>
                <w:bCs/>
                <w:sz w:val="22"/>
                <w:szCs w:val="22"/>
              </w:rPr>
            </w:pPr>
            <w:r>
              <w:rPr>
                <w:rFonts w:ascii="宋体" w:hAnsi="宋体" w:cs="宋体"/>
                <w:bCs/>
                <w:sz w:val="22"/>
                <w:szCs w:val="22"/>
              </w:rPr>
              <w:t>系统采用B/S</w:t>
            </w:r>
            <w:r>
              <w:rPr>
                <w:rFonts w:hint="eastAsia" w:ascii="宋体" w:hAnsi="宋体" w:cs="宋体"/>
                <w:bCs/>
                <w:sz w:val="22"/>
                <w:szCs w:val="22"/>
              </w:rPr>
              <w:t>技术架构，得</w:t>
            </w:r>
            <w:r>
              <w:rPr>
                <w:rFonts w:ascii="宋体" w:hAnsi="宋体" w:cs="宋体"/>
                <w:bCs/>
                <w:sz w:val="22"/>
                <w:szCs w:val="22"/>
              </w:rPr>
              <w:t>5</w:t>
            </w:r>
            <w:r>
              <w:rPr>
                <w:rFonts w:hint="eastAsia" w:ascii="宋体" w:hAnsi="宋体" w:cs="宋体"/>
                <w:bCs/>
                <w:sz w:val="22"/>
                <w:szCs w:val="22"/>
              </w:rPr>
              <w:t>分，</w:t>
            </w:r>
            <w:r>
              <w:rPr>
                <w:rFonts w:ascii="宋体" w:hAnsi="宋体" w:cs="宋体"/>
                <w:bCs/>
                <w:sz w:val="22"/>
                <w:szCs w:val="22"/>
              </w:rPr>
              <w:t>C/S</w:t>
            </w:r>
            <w:r>
              <w:rPr>
                <w:rFonts w:hint="eastAsia" w:ascii="宋体" w:hAnsi="宋体" w:cs="宋体"/>
                <w:bCs/>
                <w:sz w:val="22"/>
                <w:szCs w:val="22"/>
              </w:rPr>
              <w:t>技术架构不得分；</w:t>
            </w:r>
          </w:p>
          <w:p>
            <w:pPr>
              <w:rPr>
                <w:rFonts w:ascii="宋体" w:hAnsi="宋体" w:cs="宋体"/>
                <w:bCs/>
                <w:sz w:val="22"/>
                <w:szCs w:val="22"/>
              </w:rPr>
            </w:pPr>
            <w:r>
              <w:rPr>
                <w:rFonts w:hint="eastAsia" w:ascii="宋体" w:hAnsi="宋体" w:cs="宋体"/>
                <w:bCs/>
                <w:sz w:val="22"/>
                <w:szCs w:val="22"/>
              </w:rPr>
              <w:t>2.2.2 移动端端与电脑同步录入（</w:t>
            </w:r>
            <w:r>
              <w:rPr>
                <w:rFonts w:ascii="宋体" w:hAnsi="宋体" w:cs="宋体"/>
                <w:bCs/>
                <w:sz w:val="22"/>
                <w:szCs w:val="22"/>
              </w:rPr>
              <w:t>1</w:t>
            </w:r>
            <w:r>
              <w:rPr>
                <w:rFonts w:hint="eastAsia" w:ascii="宋体" w:hAnsi="宋体" w:cs="宋体"/>
                <w:bCs/>
                <w:sz w:val="22"/>
                <w:szCs w:val="22"/>
              </w:rPr>
              <w:t>分）</w:t>
            </w:r>
          </w:p>
          <w:p>
            <w:pPr>
              <w:rPr>
                <w:rFonts w:ascii="宋体" w:hAnsi="宋体" w:cs="宋体"/>
                <w:bCs/>
                <w:sz w:val="22"/>
                <w:szCs w:val="22"/>
              </w:rPr>
            </w:pPr>
            <w:r>
              <w:rPr>
                <w:rFonts w:ascii="宋体" w:hAnsi="宋体" w:cs="宋体"/>
                <w:bCs/>
                <w:sz w:val="22"/>
                <w:szCs w:val="22"/>
              </w:rPr>
              <w:t>系统</w:t>
            </w:r>
            <w:r>
              <w:rPr>
                <w:rFonts w:hint="eastAsia" w:ascii="宋体" w:hAnsi="宋体" w:cs="宋体"/>
                <w:bCs/>
                <w:sz w:val="22"/>
                <w:szCs w:val="22"/>
              </w:rPr>
              <w:t>支持移动端（微信端或APP）与电脑同步录入，得</w:t>
            </w:r>
            <w:r>
              <w:rPr>
                <w:rFonts w:ascii="宋体" w:hAnsi="宋体" w:cs="宋体"/>
                <w:bCs/>
                <w:sz w:val="22"/>
                <w:szCs w:val="22"/>
              </w:rPr>
              <w:t>5</w:t>
            </w:r>
            <w:r>
              <w:rPr>
                <w:rFonts w:hint="eastAsia" w:ascii="宋体" w:hAnsi="宋体" w:cs="宋体"/>
                <w:bCs/>
                <w:sz w:val="22"/>
                <w:szCs w:val="22"/>
              </w:rPr>
              <w:t>分，否则不得分；</w:t>
            </w:r>
          </w:p>
        </w:tc>
      </w:tr>
      <w:tr>
        <w:tblPrEx>
          <w:tblCellMar>
            <w:top w:w="0" w:type="dxa"/>
            <w:left w:w="108" w:type="dxa"/>
            <w:bottom w:w="0" w:type="dxa"/>
            <w:right w:w="108" w:type="dxa"/>
          </w:tblCellMar>
        </w:tblPrEx>
        <w:trPr>
          <w:trHeight w:val="1001" w:hRule="atLeast"/>
          <w:jc w:val="center"/>
        </w:trPr>
        <w:tc>
          <w:tcPr>
            <w:tcW w:w="7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sz w:val="22"/>
                <w:szCs w:val="22"/>
              </w:rPr>
            </w:pPr>
            <w:r>
              <w:rPr>
                <w:rFonts w:hint="eastAsia" w:ascii="宋体" w:hAnsi="宋体" w:cs="宋体"/>
                <w:bCs/>
                <w:color w:val="000000"/>
                <w:sz w:val="22"/>
                <w:szCs w:val="22"/>
              </w:rPr>
              <w:t>2</w:t>
            </w:r>
            <w:r>
              <w:rPr>
                <w:rFonts w:ascii="宋体" w:hAnsi="宋体" w:cs="宋体"/>
                <w:bCs/>
                <w:color w:val="000000"/>
                <w:sz w:val="22"/>
                <w:szCs w:val="22"/>
              </w:rPr>
              <w:t>.</w:t>
            </w:r>
            <w:r>
              <w:rPr>
                <w:rFonts w:hint="eastAsia" w:ascii="宋体" w:hAnsi="宋体" w:cs="宋体"/>
                <w:bCs/>
                <w:color w:val="000000"/>
                <w:sz w:val="22"/>
                <w:szCs w:val="22"/>
              </w:rPr>
              <w:t>3</w:t>
            </w:r>
          </w:p>
        </w:tc>
        <w:tc>
          <w:tcPr>
            <w:tcW w:w="2508" w:type="dxa"/>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Cs/>
                <w:sz w:val="22"/>
                <w:szCs w:val="22"/>
              </w:rPr>
            </w:pPr>
            <w:r>
              <w:rPr>
                <w:rFonts w:hint="eastAsia" w:ascii="宋体" w:hAnsi="宋体" w:cs="宋体"/>
                <w:bCs/>
                <w:sz w:val="22"/>
                <w:szCs w:val="22"/>
              </w:rPr>
              <w:t>安全方案（</w:t>
            </w:r>
            <w:r>
              <w:rPr>
                <w:rFonts w:ascii="宋体" w:hAnsi="宋体" w:cs="宋体"/>
                <w:bCs/>
                <w:sz w:val="22"/>
                <w:szCs w:val="22"/>
              </w:rPr>
              <w:t>4</w:t>
            </w:r>
            <w:r>
              <w:rPr>
                <w:rFonts w:hint="eastAsia" w:ascii="宋体" w:hAnsi="宋体" w:cs="宋体"/>
                <w:bCs/>
                <w:sz w:val="22"/>
                <w:szCs w:val="22"/>
              </w:rPr>
              <w:t>分）</w:t>
            </w: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color w:val="000000"/>
                <w:sz w:val="22"/>
                <w:szCs w:val="22"/>
              </w:rPr>
            </w:pPr>
            <w:r>
              <w:rPr>
                <w:rFonts w:hint="eastAsia" w:ascii="宋体" w:hAnsi="宋体" w:cs="宋体"/>
                <w:bCs/>
                <w:color w:val="000000"/>
                <w:sz w:val="22"/>
                <w:szCs w:val="22"/>
              </w:rPr>
              <w:t>具备账户安全方案，采用指纹验证、短信验证或数字签名认证方式均可，符合一种即可得</w:t>
            </w:r>
            <w:r>
              <w:rPr>
                <w:rFonts w:ascii="宋体" w:hAnsi="宋体" w:cs="宋体"/>
                <w:bCs/>
                <w:color w:val="000000"/>
                <w:sz w:val="22"/>
                <w:szCs w:val="22"/>
              </w:rPr>
              <w:t>4</w:t>
            </w:r>
            <w:r>
              <w:rPr>
                <w:rFonts w:hint="eastAsia" w:ascii="宋体" w:hAnsi="宋体" w:cs="宋体"/>
                <w:bCs/>
                <w:color w:val="000000"/>
                <w:sz w:val="22"/>
                <w:szCs w:val="22"/>
              </w:rPr>
              <w:t>分。</w:t>
            </w:r>
          </w:p>
        </w:tc>
      </w:tr>
      <w:tr>
        <w:tblPrEx>
          <w:tblCellMar>
            <w:top w:w="0" w:type="dxa"/>
            <w:left w:w="108" w:type="dxa"/>
            <w:bottom w:w="0" w:type="dxa"/>
            <w:right w:w="108" w:type="dxa"/>
          </w:tblCellMar>
        </w:tblPrEx>
        <w:trPr>
          <w:trHeight w:val="647" w:hRule="atLeast"/>
          <w:jc w:val="center"/>
        </w:trPr>
        <w:tc>
          <w:tcPr>
            <w:tcW w:w="928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三、实施方案及售后服务承诺（</w:t>
            </w:r>
            <w:r>
              <w:rPr>
                <w:rFonts w:ascii="宋体" w:hAnsi="宋体" w:cs="宋体"/>
                <w:b/>
                <w:bCs/>
                <w:color w:val="000000"/>
                <w:sz w:val="22"/>
                <w:szCs w:val="22"/>
              </w:rPr>
              <w:t>20</w:t>
            </w:r>
            <w:r>
              <w:rPr>
                <w:rFonts w:hint="eastAsia" w:ascii="宋体" w:hAnsi="宋体" w:cs="宋体"/>
                <w:b/>
                <w:bCs/>
                <w:color w:val="000000"/>
                <w:sz w:val="22"/>
                <w:szCs w:val="22"/>
              </w:rPr>
              <w:t>分）</w:t>
            </w:r>
          </w:p>
        </w:tc>
      </w:tr>
      <w:tr>
        <w:tblPrEx>
          <w:tblCellMar>
            <w:top w:w="0" w:type="dxa"/>
            <w:left w:w="108" w:type="dxa"/>
            <w:bottom w:w="0" w:type="dxa"/>
            <w:right w:w="108" w:type="dxa"/>
          </w:tblCellMar>
        </w:tblPrEx>
        <w:trPr>
          <w:trHeight w:val="693" w:hRule="atLeast"/>
          <w:jc w:val="center"/>
        </w:trPr>
        <w:tc>
          <w:tcPr>
            <w:tcW w:w="7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sz w:val="22"/>
                <w:szCs w:val="22"/>
              </w:rPr>
            </w:pPr>
            <w:r>
              <w:rPr>
                <w:rFonts w:hint="eastAsia" w:ascii="宋体" w:hAnsi="宋体" w:cs="宋体"/>
                <w:bCs/>
                <w:color w:val="000000"/>
                <w:sz w:val="22"/>
                <w:szCs w:val="22"/>
              </w:rPr>
              <w:t>3.1</w:t>
            </w:r>
          </w:p>
        </w:tc>
        <w:tc>
          <w:tcPr>
            <w:tcW w:w="2508" w:type="dxa"/>
            <w:tcBorders>
              <w:top w:val="single" w:color="auto" w:sz="8" w:space="0"/>
              <w:left w:val="nil"/>
              <w:bottom w:val="single" w:color="auto" w:sz="8" w:space="0"/>
              <w:right w:val="single" w:color="000000" w:sz="8" w:space="0"/>
            </w:tcBorders>
            <w:vAlign w:val="center"/>
          </w:tcPr>
          <w:p>
            <w:pPr>
              <w:jc w:val="center"/>
              <w:rPr>
                <w:rFonts w:ascii="宋体" w:hAnsi="宋体" w:cs="宋体"/>
                <w:bCs/>
                <w:sz w:val="22"/>
                <w:szCs w:val="22"/>
              </w:rPr>
            </w:pPr>
            <w:r>
              <w:rPr>
                <w:rFonts w:hint="eastAsia" w:ascii="宋体" w:hAnsi="宋体" w:cs="宋体"/>
                <w:bCs/>
                <w:sz w:val="22"/>
                <w:szCs w:val="22"/>
              </w:rPr>
              <w:t>现场实施（</w:t>
            </w:r>
            <w:r>
              <w:rPr>
                <w:rFonts w:ascii="宋体" w:hAnsi="宋体" w:cs="宋体"/>
                <w:bCs/>
                <w:sz w:val="22"/>
                <w:szCs w:val="22"/>
              </w:rPr>
              <w:t>10</w:t>
            </w:r>
            <w:r>
              <w:rPr>
                <w:rFonts w:hint="eastAsia" w:ascii="宋体" w:hAnsi="宋体" w:cs="宋体"/>
                <w:bCs/>
                <w:sz w:val="22"/>
                <w:szCs w:val="22"/>
              </w:rPr>
              <w:t>分）</w:t>
            </w: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实施方案满足服务要求中实施服务内容，每满足一项得2分，共</w:t>
            </w:r>
            <w:r>
              <w:rPr>
                <w:rFonts w:ascii="宋体" w:hAnsi="宋体" w:cs="宋体"/>
                <w:bCs/>
                <w:color w:val="000000" w:themeColor="text1"/>
                <w:sz w:val="22"/>
                <w:szCs w:val="22"/>
                <w14:textFill>
                  <w14:solidFill>
                    <w14:schemeClr w14:val="tx1"/>
                  </w14:solidFill>
                </w14:textFill>
              </w:rPr>
              <w:t>10</w:t>
            </w:r>
            <w:r>
              <w:rPr>
                <w:rFonts w:hint="eastAsia" w:ascii="宋体" w:hAnsi="宋体" w:cs="宋体"/>
                <w:bCs/>
                <w:color w:val="000000" w:themeColor="text1"/>
                <w:sz w:val="22"/>
                <w:szCs w:val="22"/>
                <w14:textFill>
                  <w14:solidFill>
                    <w14:schemeClr w14:val="tx1"/>
                  </w14:solidFill>
                </w14:textFill>
              </w:rPr>
              <w:t>分。</w:t>
            </w:r>
          </w:p>
        </w:tc>
      </w:tr>
      <w:tr>
        <w:tblPrEx>
          <w:tblCellMar>
            <w:top w:w="0" w:type="dxa"/>
            <w:left w:w="108" w:type="dxa"/>
            <w:bottom w:w="0" w:type="dxa"/>
            <w:right w:w="108" w:type="dxa"/>
          </w:tblCellMar>
        </w:tblPrEx>
        <w:trPr>
          <w:trHeight w:val="687" w:hRule="atLeast"/>
          <w:jc w:val="center"/>
        </w:trPr>
        <w:tc>
          <w:tcPr>
            <w:tcW w:w="7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sz w:val="22"/>
                <w:szCs w:val="22"/>
              </w:rPr>
            </w:pPr>
            <w:r>
              <w:rPr>
                <w:rFonts w:ascii="宋体" w:hAnsi="宋体" w:cs="宋体"/>
                <w:bCs/>
                <w:color w:val="000000"/>
                <w:sz w:val="22"/>
                <w:szCs w:val="22"/>
              </w:rPr>
              <w:t>3.2</w:t>
            </w:r>
          </w:p>
        </w:tc>
        <w:tc>
          <w:tcPr>
            <w:tcW w:w="2508" w:type="dxa"/>
            <w:tcBorders>
              <w:top w:val="single" w:color="auto" w:sz="8" w:space="0"/>
              <w:left w:val="nil"/>
              <w:bottom w:val="single" w:color="auto" w:sz="8" w:space="0"/>
              <w:right w:val="single" w:color="000000" w:sz="8" w:space="0"/>
            </w:tcBorders>
            <w:vAlign w:val="center"/>
          </w:tcPr>
          <w:p>
            <w:pPr>
              <w:jc w:val="center"/>
              <w:rPr>
                <w:rFonts w:ascii="宋体" w:hAnsi="宋体" w:cs="宋体"/>
                <w:bCs/>
                <w:color w:val="000000"/>
                <w:sz w:val="22"/>
                <w:szCs w:val="22"/>
              </w:rPr>
            </w:pPr>
            <w:r>
              <w:rPr>
                <w:rFonts w:hint="eastAsia" w:ascii="宋体" w:hAnsi="宋体" w:cs="宋体"/>
                <w:bCs/>
                <w:color w:val="000000"/>
                <w:sz w:val="22"/>
                <w:szCs w:val="22"/>
              </w:rPr>
              <w:t>售后服务（</w:t>
            </w:r>
            <w:r>
              <w:rPr>
                <w:rFonts w:ascii="宋体" w:hAnsi="宋体" w:cs="宋体"/>
                <w:bCs/>
                <w:color w:val="000000"/>
                <w:sz w:val="22"/>
                <w:szCs w:val="22"/>
              </w:rPr>
              <w:t>10</w:t>
            </w:r>
            <w:r>
              <w:rPr>
                <w:rFonts w:hint="eastAsia" w:ascii="宋体" w:hAnsi="宋体" w:cs="宋体"/>
                <w:bCs/>
                <w:color w:val="000000"/>
                <w:sz w:val="22"/>
                <w:szCs w:val="22"/>
              </w:rPr>
              <w:t>分）</w:t>
            </w: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售后服务满足服务要求中售后服务内容，每满足一项得2分，共</w:t>
            </w:r>
            <w:r>
              <w:rPr>
                <w:rFonts w:ascii="宋体" w:hAnsi="宋体" w:cs="宋体"/>
                <w:bCs/>
                <w:color w:val="000000" w:themeColor="text1"/>
                <w:sz w:val="22"/>
                <w:szCs w:val="22"/>
                <w14:textFill>
                  <w14:solidFill>
                    <w14:schemeClr w14:val="tx1"/>
                  </w14:solidFill>
                </w14:textFill>
              </w:rPr>
              <w:t>10</w:t>
            </w:r>
            <w:r>
              <w:rPr>
                <w:rFonts w:hint="eastAsia" w:ascii="宋体" w:hAnsi="宋体" w:cs="宋体"/>
                <w:bCs/>
                <w:color w:val="000000" w:themeColor="text1"/>
                <w:sz w:val="22"/>
                <w:szCs w:val="22"/>
                <w14:textFill>
                  <w14:solidFill>
                    <w14:schemeClr w14:val="tx1"/>
                  </w14:solidFill>
                </w14:textFill>
              </w:rPr>
              <w:t>分。</w:t>
            </w:r>
          </w:p>
        </w:tc>
      </w:tr>
      <w:tr>
        <w:tblPrEx>
          <w:tblCellMar>
            <w:top w:w="0" w:type="dxa"/>
            <w:left w:w="108" w:type="dxa"/>
            <w:bottom w:w="0" w:type="dxa"/>
            <w:right w:w="108" w:type="dxa"/>
          </w:tblCellMar>
        </w:tblPrEx>
        <w:trPr>
          <w:trHeight w:val="647" w:hRule="atLeast"/>
          <w:jc w:val="center"/>
        </w:trPr>
        <w:tc>
          <w:tcPr>
            <w:tcW w:w="928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四、价格（30分）</w:t>
            </w:r>
          </w:p>
        </w:tc>
      </w:tr>
      <w:tr>
        <w:tblPrEx>
          <w:tblCellMar>
            <w:top w:w="0" w:type="dxa"/>
            <w:left w:w="108" w:type="dxa"/>
            <w:bottom w:w="0" w:type="dxa"/>
            <w:right w:w="108" w:type="dxa"/>
          </w:tblCellMar>
        </w:tblPrEx>
        <w:trPr>
          <w:trHeight w:val="693" w:hRule="atLeast"/>
          <w:jc w:val="center"/>
        </w:trPr>
        <w:tc>
          <w:tcPr>
            <w:tcW w:w="7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sz w:val="22"/>
                <w:szCs w:val="22"/>
              </w:rPr>
            </w:pPr>
          </w:p>
        </w:tc>
        <w:tc>
          <w:tcPr>
            <w:tcW w:w="8543" w:type="dxa"/>
            <w:gridSpan w:val="2"/>
            <w:tcBorders>
              <w:top w:val="single" w:color="auto" w:sz="8" w:space="0"/>
              <w:left w:val="nil"/>
              <w:bottom w:val="single" w:color="auto" w:sz="8" w:space="0"/>
              <w:right w:val="single" w:color="auto" w:sz="8" w:space="0"/>
            </w:tcBorders>
            <w:vAlign w:val="center"/>
          </w:tcPr>
          <w:p>
            <w:pPr>
              <w:autoSpaceDE w:val="0"/>
              <w:autoSpaceDN w:val="0"/>
              <w:adjustRightInd w:val="0"/>
              <w:spacing w:line="320" w:lineRule="exact"/>
              <w:ind w:left="26"/>
              <w:jc w:val="left"/>
              <w:rPr>
                <w:rFonts w:ascii="宋体" w:hAnsi="宋体" w:cs="宋体"/>
                <w:color w:val="000000"/>
                <w:kern w:val="0"/>
                <w:sz w:val="22"/>
                <w:szCs w:val="22"/>
              </w:rPr>
            </w:pPr>
            <w:r>
              <w:rPr>
                <w:rFonts w:hint="eastAsia" w:ascii="宋体" w:hAnsi="宋体" w:cs="宋体"/>
                <w:color w:val="000000"/>
                <w:kern w:val="0"/>
                <w:sz w:val="22"/>
                <w:szCs w:val="22"/>
              </w:rPr>
              <w:t>实质上满足磋商文件要求且最后报价最低的供应商的价格为磋商基准价，其价格分为满分。其他供应商的价格分统一按照下列公式计算：磋商报价得分=（磋商基准价/最后磋商报价）×</w:t>
            </w:r>
            <w:r>
              <w:rPr>
                <w:rFonts w:ascii="宋体" w:hAnsi="宋体" w:cs="宋体"/>
                <w:color w:val="000000"/>
                <w:kern w:val="0"/>
                <w:sz w:val="22"/>
                <w:szCs w:val="22"/>
              </w:rPr>
              <w:t>3</w:t>
            </w:r>
            <w:r>
              <w:rPr>
                <w:rFonts w:hint="eastAsia" w:ascii="宋体" w:hAnsi="宋体" w:cs="宋体"/>
                <w:color w:val="000000"/>
                <w:kern w:val="0"/>
                <w:sz w:val="22"/>
                <w:szCs w:val="22"/>
              </w:rPr>
              <w:t>0分</w:t>
            </w:r>
          </w:p>
          <w:p>
            <w:pPr>
              <w:spacing w:line="360" w:lineRule="auto"/>
              <w:rPr>
                <w:rFonts w:ascii="宋体" w:hAnsi="宋体" w:cs="宋体"/>
                <w:bCs/>
                <w:color w:val="000000"/>
                <w:sz w:val="22"/>
                <w:szCs w:val="22"/>
              </w:rPr>
            </w:pPr>
            <w:r>
              <w:rPr>
                <w:rFonts w:hint="eastAsia" w:ascii="宋体" w:hAnsi="宋体" w:cs="宋体"/>
                <w:color w:val="000000"/>
                <w:kern w:val="0"/>
                <w:sz w:val="22"/>
                <w:szCs w:val="22"/>
              </w:rPr>
              <w:t>根据财政部《政府采购促进中小企业发展暂行办法》，对合格的小型或微型企业产品的价格给予6%的扣除，用扣除后的价格参与评审。</w:t>
            </w:r>
          </w:p>
        </w:tc>
      </w:tr>
    </w:tbl>
    <w:p/>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B3BFA"/>
    <w:multiLevelType w:val="multilevel"/>
    <w:tmpl w:val="47FB3BFA"/>
    <w:lvl w:ilvl="0" w:tentative="0">
      <w:start w:val="1"/>
      <w:numFmt w:val="decimal"/>
      <w:lvlText w:val="%1）"/>
      <w:lvlJc w:val="left"/>
      <w:pPr>
        <w:ind w:left="8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B970A1"/>
    <w:multiLevelType w:val="multilevel"/>
    <w:tmpl w:val="6EB970A1"/>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1F49EB"/>
    <w:multiLevelType w:val="multilevel"/>
    <w:tmpl w:val="7A1F49EB"/>
    <w:lvl w:ilvl="0" w:tentative="0">
      <w:start w:val="1"/>
      <w:numFmt w:val="decimal"/>
      <w:pStyle w:val="12"/>
      <w:lvlText w:val="%1"/>
      <w:lvlJc w:val="left"/>
      <w:pPr>
        <w:ind w:left="425" w:hanging="425"/>
      </w:pPr>
    </w:lvl>
    <w:lvl w:ilvl="1" w:tentative="0">
      <w:start w:val="1"/>
      <w:numFmt w:val="decimal"/>
      <w:pStyle w:val="14"/>
      <w:lvlText w:val="%1.%2"/>
      <w:lvlJc w:val="left"/>
      <w:pPr>
        <w:ind w:left="851" w:hanging="567"/>
      </w:pPr>
    </w:lvl>
    <w:lvl w:ilvl="2" w:tentative="0">
      <w:start w:val="1"/>
      <w:numFmt w:val="decimal"/>
      <w:pStyle w:val="17"/>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7F506F8F"/>
    <w:multiLevelType w:val="multilevel"/>
    <w:tmpl w:val="7F506F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A6"/>
    <w:rsid w:val="000010F6"/>
    <w:rsid w:val="00036AEF"/>
    <w:rsid w:val="000C0BA6"/>
    <w:rsid w:val="000C37C1"/>
    <w:rsid w:val="000D1685"/>
    <w:rsid w:val="000F3EEE"/>
    <w:rsid w:val="00110BE4"/>
    <w:rsid w:val="00162205"/>
    <w:rsid w:val="00170A83"/>
    <w:rsid w:val="002726A6"/>
    <w:rsid w:val="002F3BA6"/>
    <w:rsid w:val="00365CA8"/>
    <w:rsid w:val="003D3135"/>
    <w:rsid w:val="003F456A"/>
    <w:rsid w:val="00411AE0"/>
    <w:rsid w:val="00435FEE"/>
    <w:rsid w:val="00440FD3"/>
    <w:rsid w:val="004B6125"/>
    <w:rsid w:val="004D4360"/>
    <w:rsid w:val="00541F67"/>
    <w:rsid w:val="005B2D21"/>
    <w:rsid w:val="005E453D"/>
    <w:rsid w:val="00615FAE"/>
    <w:rsid w:val="00661911"/>
    <w:rsid w:val="006E5852"/>
    <w:rsid w:val="006F29AD"/>
    <w:rsid w:val="0070005E"/>
    <w:rsid w:val="0070180C"/>
    <w:rsid w:val="0070433C"/>
    <w:rsid w:val="00764C36"/>
    <w:rsid w:val="00770C78"/>
    <w:rsid w:val="007D2C10"/>
    <w:rsid w:val="008554A0"/>
    <w:rsid w:val="008738EF"/>
    <w:rsid w:val="008B06AD"/>
    <w:rsid w:val="008C6732"/>
    <w:rsid w:val="008E6C44"/>
    <w:rsid w:val="00902365"/>
    <w:rsid w:val="00973D76"/>
    <w:rsid w:val="009A4BAE"/>
    <w:rsid w:val="009F5550"/>
    <w:rsid w:val="00A11F39"/>
    <w:rsid w:val="00A164A1"/>
    <w:rsid w:val="00A72C54"/>
    <w:rsid w:val="00AB19C2"/>
    <w:rsid w:val="00AB6C32"/>
    <w:rsid w:val="00AF4409"/>
    <w:rsid w:val="00B37090"/>
    <w:rsid w:val="00C15EC0"/>
    <w:rsid w:val="00C36AB7"/>
    <w:rsid w:val="00C46588"/>
    <w:rsid w:val="00C61BBE"/>
    <w:rsid w:val="00C84BF9"/>
    <w:rsid w:val="00CA40D6"/>
    <w:rsid w:val="00CE2CD4"/>
    <w:rsid w:val="00CE55B9"/>
    <w:rsid w:val="00CF5AD2"/>
    <w:rsid w:val="00D3182B"/>
    <w:rsid w:val="00D31CC9"/>
    <w:rsid w:val="00D3564C"/>
    <w:rsid w:val="00D646D8"/>
    <w:rsid w:val="00D93AAB"/>
    <w:rsid w:val="00DA6FC3"/>
    <w:rsid w:val="00E07F99"/>
    <w:rsid w:val="00E307E3"/>
    <w:rsid w:val="00E43456"/>
    <w:rsid w:val="00F130D3"/>
    <w:rsid w:val="00F2107B"/>
    <w:rsid w:val="00F35BC3"/>
    <w:rsid w:val="00F54105"/>
    <w:rsid w:val="00F65A33"/>
    <w:rsid w:val="00F808DC"/>
    <w:rsid w:val="00FB4396"/>
    <w:rsid w:val="00FE1C67"/>
    <w:rsid w:val="04EA6EBC"/>
    <w:rsid w:val="0B605205"/>
    <w:rsid w:val="1D664516"/>
    <w:rsid w:val="21F0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1"/>
    <w:qFormat/>
    <w:uiPriority w:val="99"/>
    <w:pPr>
      <w:jc w:val="left"/>
    </w:pPr>
    <w:rPr>
      <w:rFonts w:asciiTheme="minorHAnsi" w:hAnsiTheme="minorHAnsi" w:eastAsiaTheme="minorEastAsia" w:cstheme="minorBidi"/>
      <w:szCs w:val="22"/>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Autospacing="1" w:afterAutospacing="1"/>
      <w:jc w:val="left"/>
    </w:pPr>
    <w:rPr>
      <w:kern w:val="0"/>
      <w:sz w:val="24"/>
      <w:szCs w:val="24"/>
    </w:rPr>
  </w:style>
  <w:style w:type="table" w:styleId="9">
    <w:name w:val="Table Grid"/>
    <w:basedOn w:val="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customStyle="1" w:styleId="12">
    <w:name w:val="1级样式"/>
    <w:basedOn w:val="2"/>
    <w:next w:val="1"/>
    <w:qFormat/>
    <w:uiPriority w:val="0"/>
    <w:pPr>
      <w:numPr>
        <w:ilvl w:val="0"/>
        <w:numId w:val="1"/>
      </w:numPr>
    </w:pPr>
    <w:rPr>
      <w:rFonts w:ascii="宋体" w:hAnsi="宋体" w:eastAsia="仿宋"/>
    </w:rPr>
  </w:style>
  <w:style w:type="character" w:customStyle="1" w:styleId="13">
    <w:name w:val="标题 1 字符"/>
    <w:basedOn w:val="10"/>
    <w:link w:val="2"/>
    <w:qFormat/>
    <w:uiPriority w:val="9"/>
    <w:rPr>
      <w:b/>
      <w:bCs/>
      <w:kern w:val="44"/>
      <w:sz w:val="44"/>
      <w:szCs w:val="44"/>
    </w:rPr>
  </w:style>
  <w:style w:type="paragraph" w:customStyle="1" w:styleId="14">
    <w:name w:val="2级样式"/>
    <w:basedOn w:val="3"/>
    <w:next w:val="1"/>
    <w:link w:val="15"/>
    <w:qFormat/>
    <w:uiPriority w:val="0"/>
    <w:pPr>
      <w:numPr>
        <w:ilvl w:val="1"/>
        <w:numId w:val="1"/>
      </w:numPr>
      <w:spacing w:line="360" w:lineRule="auto"/>
    </w:pPr>
    <w:rPr>
      <w:rFonts w:ascii="Calibri Light" w:hAnsi="Calibri Light" w:eastAsia="仿宋" w:cs="Times New Roman"/>
      <w:kern w:val="15"/>
      <w:sz w:val="30"/>
      <w:szCs w:val="24"/>
    </w:rPr>
  </w:style>
  <w:style w:type="character" w:customStyle="1" w:styleId="15">
    <w:name w:val="2级样式 Char"/>
    <w:basedOn w:val="16"/>
    <w:link w:val="14"/>
    <w:qFormat/>
    <w:uiPriority w:val="0"/>
    <w:rPr>
      <w:rFonts w:ascii="Calibri Light" w:hAnsi="Calibri Light" w:eastAsia="仿宋" w:cs="Times New Roman"/>
      <w:kern w:val="15"/>
      <w:sz w:val="30"/>
      <w:szCs w:val="24"/>
    </w:rPr>
  </w:style>
  <w:style w:type="character" w:customStyle="1" w:styleId="16">
    <w:name w:val="标题 2 字符"/>
    <w:basedOn w:val="10"/>
    <w:link w:val="3"/>
    <w:semiHidden/>
    <w:qFormat/>
    <w:uiPriority w:val="9"/>
    <w:rPr>
      <w:rFonts w:asciiTheme="majorHAnsi" w:hAnsiTheme="majorHAnsi" w:eastAsiaTheme="majorEastAsia" w:cstheme="majorBidi"/>
      <w:b/>
      <w:bCs/>
      <w:sz w:val="32"/>
      <w:szCs w:val="32"/>
    </w:rPr>
  </w:style>
  <w:style w:type="paragraph" w:customStyle="1" w:styleId="17">
    <w:name w:val="3级样式"/>
    <w:basedOn w:val="14"/>
    <w:next w:val="1"/>
    <w:link w:val="18"/>
    <w:qFormat/>
    <w:uiPriority w:val="0"/>
    <w:pPr>
      <w:numPr>
        <w:ilvl w:val="2"/>
      </w:numPr>
      <w:outlineLvl w:val="2"/>
    </w:pPr>
    <w:rPr>
      <w:sz w:val="28"/>
    </w:rPr>
  </w:style>
  <w:style w:type="character" w:customStyle="1" w:styleId="18">
    <w:name w:val="3级样式 Char"/>
    <w:basedOn w:val="15"/>
    <w:link w:val="17"/>
    <w:qFormat/>
    <w:uiPriority w:val="0"/>
    <w:rPr>
      <w:rFonts w:ascii="Calibri Light" w:hAnsi="Calibri Light" w:eastAsia="仿宋" w:cs="Times New Roman"/>
      <w:kern w:val="15"/>
      <w:sz w:val="28"/>
      <w:szCs w:val="24"/>
    </w:rPr>
  </w:style>
  <w:style w:type="character" w:customStyle="1" w:styleId="19">
    <w:name w:val="页眉 字符"/>
    <w:basedOn w:val="10"/>
    <w:link w:val="6"/>
    <w:qFormat/>
    <w:uiPriority w:val="99"/>
    <w:rPr>
      <w:sz w:val="18"/>
      <w:szCs w:val="18"/>
    </w:rPr>
  </w:style>
  <w:style w:type="character" w:customStyle="1" w:styleId="20">
    <w:name w:val="页脚 字符"/>
    <w:basedOn w:val="10"/>
    <w:link w:val="5"/>
    <w:qFormat/>
    <w:uiPriority w:val="99"/>
    <w:rPr>
      <w:sz w:val="18"/>
      <w:szCs w:val="18"/>
    </w:rPr>
  </w:style>
  <w:style w:type="character" w:customStyle="1" w:styleId="21">
    <w:name w:val="批注文字 字符1"/>
    <w:basedOn w:val="10"/>
    <w:link w:val="4"/>
    <w:qFormat/>
    <w:uiPriority w:val="0"/>
  </w:style>
  <w:style w:type="character" w:customStyle="1" w:styleId="22">
    <w:name w:val="批注文字 字符"/>
    <w:basedOn w:val="10"/>
    <w:semiHidden/>
    <w:qFormat/>
    <w:uiPriority w:val="99"/>
    <w:rPr>
      <w:rFonts w:ascii="Times New Roman" w:hAnsi="Times New Roman" w:eastAsia="宋体" w:cs="Times New Roman"/>
      <w:szCs w:val="20"/>
    </w:rPr>
  </w:style>
  <w:style w:type="paragraph" w:styleId="23">
    <w:name w:val="List Paragraph"/>
    <w:basedOn w:val="1"/>
    <w:qFormat/>
    <w:uiPriority w:val="34"/>
    <w:pPr>
      <w:widowControl/>
      <w:ind w:firstLine="420" w:firstLineChars="200"/>
      <w:jc w:val="left"/>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2969</Words>
  <Characters>3069</Characters>
  <Lines>22</Lines>
  <Paragraphs>6</Paragraphs>
  <TotalTime>18</TotalTime>
  <ScaleCrop>false</ScaleCrop>
  <LinksUpToDate>false</LinksUpToDate>
  <CharactersWithSpaces>3075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2022-04-08T06:31:00Z</dcterms:created>
  <dc:creator>路 超</dc:creator>
  <cp:lastModifiedBy>陈海强</cp:lastModifiedBy>
  <dcterms:modified xsi:type="dcterms:W3CDTF">2022-04-29T08:07:43Z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eyJoZGlkIjoiNjk5OTU4MmUyZTU2OWIxZDlkNzRlYzljM2YwMWQwN2UifQ==</vt:lpwstr>
  </property>
  <property fmtid="{D5CDD505-2E9C-101B-9397-08002B2CF9AE}" pid="3" name="KSOProductBuildVer">
    <vt:lpwstr>2052-11.1.0.11636</vt:lpwstr>
  </property>
  <property fmtid="{D5CDD505-2E9C-101B-9397-08002B2CF9AE}" pid="4" name="ICV">
    <vt:lpwstr>6EC767DA0304413B9931749002E6ACF1</vt:lpwstr>
  </property>
</Properties>
</file>